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0" w:lineRule="exact" w:before="18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302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February 03, 2023</w:t>
      </w:r>
    </w:p>
    <w:p>
      <w:pPr>
        <w:autoSpaceDN w:val="0"/>
        <w:autoSpaceDE w:val="0"/>
        <w:widowControl/>
        <w:spacing w:line="332" w:lineRule="exact" w:before="26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274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06.02.2023)</w:t>
      </w:r>
    </w:p>
    <w:p>
      <w:pPr>
        <w:autoSpaceDN w:val="0"/>
        <w:autoSpaceDE w:val="0"/>
        <w:widowControl/>
        <w:spacing w:line="240" w:lineRule="auto" w:before="33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exact" w:before="348" w:after="0"/>
        <w:ind w:left="1440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SRI LANKA INSTITUTE OF TRAINING AND </w:t>
      </w:r>
      <w:r>
        <w:rPr>
          <w:rFonts w:ascii="Times" w:hAnsi="Times" w:eastAsia="Times"/>
          <w:b/>
          <w:i w:val="0"/>
          <w:color w:val="221F1F"/>
          <w:sz w:val="28"/>
        </w:rPr>
        <w:t>DEVELOPMENT (INCORPORATION)</w:t>
      </w:r>
    </w:p>
    <w:p>
      <w:pPr>
        <w:autoSpaceDN w:val="0"/>
        <w:autoSpaceDE w:val="0"/>
        <w:widowControl/>
        <w:spacing w:line="244" w:lineRule="exact" w:before="194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210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0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14" w:after="0"/>
        <w:ind w:left="170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Sri Lanka Institute of Training and Development</w:t>
      </w:r>
    </w:p>
    <w:p>
      <w:pPr>
        <w:autoSpaceDN w:val="0"/>
        <w:autoSpaceDE w:val="0"/>
        <w:widowControl/>
        <w:spacing w:line="244" w:lineRule="exact" w:before="246" w:after="0"/>
        <w:ind w:left="15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(Mrs.) Kokila Gunawardene, M. P.</w:t>
      </w:r>
    </w:p>
    <w:p>
      <w:pPr>
        <w:autoSpaceDN w:val="0"/>
        <w:autoSpaceDE w:val="0"/>
        <w:widowControl/>
        <w:spacing w:line="244" w:lineRule="exact" w:before="0" w:after="58"/>
        <w:ind w:left="0" w:right="35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Gampaha District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7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" w:after="0"/>
              <w:ind w:left="1728" w:right="1584" w:firstLine="0"/>
              <w:jc w:val="center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SRI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LANKA </w:t>
            </w:r>
            <w:r>
              <w:br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7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20.00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6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50.00</w:t>
            </w:r>
          </w:p>
        </w:tc>
      </w:tr>
      <w:tr>
        <w:trPr>
          <w:trHeight w:hRule="exact" w:val="756"/>
        </w:trPr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38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Institute of Training and Development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8" w:lineRule="exact" w:before="176" w:after="164"/>
        <w:ind w:left="2016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RAINING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Institute called and known as the “Sri Lanka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Training and Development” has heretofore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for the purpose of effectually carrying out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transacting all objects and matters connected  with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according to the rules 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Institute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matters for which it was established, and has applied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incorporated and it will be for the public advantage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the 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72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This Act may be cited as the Sri Lanka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 and Development (Incorporation) Act, No.  2023.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6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8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From and after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persons, as now are members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" w:after="0"/>
              <w:ind w:left="10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Training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Institute of Training and Development 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 “the Institute”) and shall hereafter be  admitted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members of the Corporation hereby constituted,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(hereinafter referred to as the  “the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Corporation”) with perpetual succsection under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style of the “Sri Lanka Institute of Training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Development”, and by that name may sue and be sued in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courts, with full power and  authority to have and to  use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common seal and alter the same act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32" w:lineRule="exact" w:before="16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Corporation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professional recognition to the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in the various grades of membership;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Training and Development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0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(b)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raise and uphold the interest, dignity, welfare,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and professional status, of those engaged in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field of training and development;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(c)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maitain links with similar professional bodies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local and foreign;</w:t>
            </w:r>
          </w:p>
        </w:tc>
      </w:tr>
      <w:tr>
        <w:trPr>
          <w:trHeight w:hRule="exact" w:val="5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(d)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intervene with the appropriate authorities when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issues arise that, may threaten the well-being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 in general;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(e)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enhance professional togetherness by promoting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activities among the membership;</w:t>
            </w:r>
          </w:p>
        </w:tc>
      </w:tr>
      <w:tr>
        <w:trPr>
          <w:trHeight w:hRule="exact" w:val="5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(f)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establish, encourage and foster ethical and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standards of work and conduct for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profession and to take necessary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expedient steps in this connection;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(g)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and promote maintenance of a</w:t>
            </w:r>
          </w:p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representive body for the training profession and</w:t>
            </w:r>
          </w:p>
        </w:tc>
      </w:tr>
      <w:tr>
        <w:trPr>
          <w:trHeight w:hRule="exact" w:val="26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collect, collate, co-ordinate and distribute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information, ideas, methods and techniques for the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 and improvement of the training profession;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(h)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foster, promote, encourage and facilitate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discussion study and research and to disseminate</w:t>
            </w:r>
          </w:p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on matters and problems connected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training;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encourage, foster and promote the creation of a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learning culture within Sri Lankan Organizations;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(j)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actively promote Human Resource Development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initiatives at the organizational level with a view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enhancement of the level of managerial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competencies in organizations;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52" w:lineRule="exact" w:before="0" w:after="0"/>
        <w:ind w:left="222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Training and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84" w:lineRule="exact" w:before="200" w:after="224"/>
        <w:ind w:left="212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actively involved with, and explore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frontiers of, knowledge management to help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and their organizations to harness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potential as a source of competitive advantage;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(l)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to do all such acts and things as are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for, or incidental or conductive to, the</w:t>
            </w:r>
          </w:p>
        </w:tc>
      </w:tr>
    </w:tbl>
    <w:p>
      <w:pPr>
        <w:autoSpaceDN w:val="0"/>
        <w:autoSpaceDE w:val="0"/>
        <w:widowControl/>
        <w:spacing w:line="274" w:lineRule="exact" w:before="0" w:after="22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or the attainment of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affairs of the Corporation shall, subject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in force for the time being of the Corporation,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an Executive Council consisting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office-bearers and such other persons as may be provided for </w:t>
      </w:r>
      <w:r>
        <w:rPr>
          <w:rFonts w:ascii="Times" w:hAnsi="Times" w:eastAsia="Times"/>
          <w:b w:val="0"/>
          <w:i w:val="0"/>
          <w:color w:val="221F1F"/>
          <w:sz w:val="20"/>
        </w:rPr>
        <w:t>in such rules and elected in accordance therewith.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exact" w:before="276" w:after="224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Executive Council of the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members of the Executive Council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Corporation, from time to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not less than two-thirds of the members present and entitled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vote, to make rules, not inconsistent with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exact" w:before="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other written law, for the admission,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expulsion or withdrawal of members, for the election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Executive Council, for the conduct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of the Executive Council and of the various officers,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agents and servants of the Corporation, for the procedure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in the transation of business at meetings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the Executive Council and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for the management of the affairs of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attainment of its objects.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Training and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of the Institute in force on the day preceding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commencement of this Act shall, insofar as they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not inconsistent with the provisions of this Act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be deemed to be the rules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this section and may be altered, added to,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rescinded or replaced by rules made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No rules of the Corporation for the time being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force nor any rules which may hereafter be passed,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to, amended or rescinded except by the votes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two-thirds of the members present and voting at a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of the Corporation: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that no such alteration, addition,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amendment or rescission shall have effect unless approved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Executive Council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0" w:after="0"/>
              <w:ind w:left="8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Executive Council of the Corporation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cause proper books of account to be kept of the income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8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accounts of the Corporation shall be audited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qualified auditor appointed by the Executive Council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40" w:after="14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this section, “qualified auditor”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36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individual who, being a member of the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Chartered Accountants of Sri Lanka, or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to practice as an Accountant issued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Institute; or</w:t>
            </w:r>
          </w:p>
        </w:tc>
      </w:tr>
      <w:tr>
        <w:trPr>
          <w:trHeight w:hRule="exact" w:val="15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(b)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firm of Accountants each of the resident partners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which being a member of the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Chartered Accountants of Sri Lanka or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to practice as an Accountant issued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Training and Development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Corporation shall be able and capable in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by purchase, gift, bequest, grant, devise,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acquire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disposition, exchange or in any other manner and to hold,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movable or immovable property and to dispose of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raise money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property acquired or held by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have the power to borrow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raise money necessary for the furtherance of its objects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security and to secure the discharge of any debt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obligation of the Corporation in such manner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fit.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52" w:lineRule="exact" w:before="184" w:after="17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Corporation may raise funds and receive </w:t>
      </w:r>
      <w:r>
        <w:rPr>
          <w:rFonts w:ascii="Times" w:hAnsi="Times" w:eastAsia="Times"/>
          <w:b w:val="0"/>
          <w:i w:val="0"/>
          <w:color w:val="221F1F"/>
          <w:sz w:val="20"/>
        </w:rPr>
        <w:t>subscriptions, grants, donations, and gifts in cash or kind.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All property movable and immovable, acquired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 by the Corporation and all moneys paid to or received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Corporation under this Act or rules made there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held, used and applied by the Corporation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it’s rules, for the furtherance of its objects.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Corporation shall be kept in the custody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Secretary of the Corporation and shall nor be affixed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2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or any officer of the Corporation authorized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behalf in accordance with the rules in force for the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Corporation,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in token of their presence, and such signing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independent of the signing of any person as a witness.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Corporation shall have its own fund and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received by way of  gifts,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donations, subscriptions, contributions, fees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 for and on  account of the Corporation,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deposited to the credit of the Corporation in one or more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as the Committee of Management of the Corporation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determine.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Institute of Training and Development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54" w:lineRule="exact" w:before="178" w:after="17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funds all sums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to any expenditure incurred by the Body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exercise, performance and discharge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income and property of the Corporation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howsoever derived shall be applied solely, towards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income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property,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as set forth herein, and no portion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shall be paid or transferred directly or indirectly,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dividend, bonus or otherwise by way of profit, to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Institute existing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 the date of commencement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Corporation and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Institute on that day shall be paid to the Corporation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member of the Corporation shall, 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any other  purpose, be liable to make any contribution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towards discharging such debts and liabilities exceeding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amount of such  annual subscriptions as  may be due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2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him to the Corporation.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upon the dissolution of the Corporation there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debts and liabilities,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whatsoever, such property shall not be distributed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the members of the Corporation, but shall be given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transferred to some other institute or institutes having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similar to those of the Corporation, and which is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by the rules thereof prohibited from distributing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income or property among its or their members. Such institute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institutions shall be determined by the members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at or immediately before the dissolution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Training and Development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9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affect, the rights of the Republic, or of any body politic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the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from, or under,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4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9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28" w:lineRule="exact" w:before="158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472"/>
        </w:trPr>
        <w:tc>
          <w:tcPr>
            <w:tcW w:type="dxa" w:w="6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6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Institute of Training and Development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