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0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24, 2023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28.02.2023)</w:t>
      </w:r>
    </w:p>
    <w:p>
      <w:pPr>
        <w:autoSpaceDN w:val="0"/>
        <w:autoSpaceDE w:val="0"/>
        <w:widowControl/>
        <w:spacing w:line="240" w:lineRule="auto" w:before="28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18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FISHERIES AND AQUATIC RESOURCES </w:t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78" w:after="0"/>
        <w:ind w:left="0" w:right="434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70" w:after="0"/>
        <w:ind w:left="0" w:right="413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9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Fisheries and Aquatic Resources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Act, No. 2 of 1996</w:t>
      </w:r>
    </w:p>
    <w:p>
      <w:pPr>
        <w:autoSpaceDN w:val="0"/>
        <w:autoSpaceDE w:val="0"/>
        <w:widowControl/>
        <w:spacing w:line="235" w:lineRule="auto" w:before="414" w:after="0"/>
        <w:ind w:left="0" w:right="23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Fisheries</w:t>
      </w:r>
    </w:p>
    <w:p>
      <w:pPr>
        <w:autoSpaceDN w:val="0"/>
        <w:autoSpaceDE w:val="0"/>
        <w:widowControl/>
        <w:spacing w:line="245" w:lineRule="auto" w:before="63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54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16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replaces section 14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Fisheries and Aquatic Resources Act,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2 of 1996 (hereinafter referred to as the “principal enactment”)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section as replaced is to make, in addition to the holder of a licence granted under Part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II of the Act, the owner of the boat, the skipper of the boat, any member of the crew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person on board of such boat at the relevant time as persons liable for the offence </w:t>
      </w:r>
      <w:r>
        <w:rPr>
          <w:rFonts w:ascii="Times" w:hAnsi="Times" w:eastAsia="Times"/>
          <w:b w:val="0"/>
          <w:i w:val="0"/>
          <w:color w:val="000000"/>
          <w:sz w:val="16"/>
        </w:rPr>
        <w:t>committed under newly introduced section 14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38" w:lineRule="auto" w:before="20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3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new sections 14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14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and:-</w:t>
      </w:r>
    </w:p>
    <w:p>
      <w:pPr>
        <w:autoSpaceDN w:val="0"/>
        <w:tabs>
          <w:tab w:pos="2064" w:val="left"/>
        </w:tabs>
        <w:autoSpaceDE w:val="0"/>
        <w:widowControl/>
        <w:spacing w:line="238" w:lineRule="auto" w:before="202" w:after="0"/>
        <w:ind w:left="16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legal effect of section 14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is to –</w:t>
      </w:r>
    </w:p>
    <w:p>
      <w:pPr>
        <w:autoSpaceDN w:val="0"/>
        <w:tabs>
          <w:tab w:pos="2542" w:val="left"/>
        </w:tabs>
        <w:autoSpaceDE w:val="0"/>
        <w:widowControl/>
        <w:spacing w:line="245" w:lineRule="auto" w:before="202" w:after="0"/>
        <w:ind w:left="215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prohibit any person from engaging in any Illegal, Unreported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Unregulated fishing operations in Sri Lanka Waters or High Seas; and</w:t>
      </w:r>
    </w:p>
    <w:p>
      <w:pPr>
        <w:autoSpaceDN w:val="0"/>
        <w:tabs>
          <w:tab w:pos="2542" w:val="left"/>
          <w:tab w:pos="2544" w:val="left"/>
        </w:tabs>
        <w:autoSpaceDE w:val="0"/>
        <w:widowControl/>
        <w:spacing w:line="247" w:lineRule="auto" w:before="202" w:after="0"/>
        <w:ind w:left="215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the owner of the boat, the holder of the licence, the skipper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boat, any member of the crew and any person on board of such boat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relevant time as persons liable for any offence committed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newly inserted section 14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062" w:val="left"/>
        </w:tabs>
        <w:autoSpaceDE w:val="0"/>
        <w:widowControl/>
        <w:spacing w:line="247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legal effect of section 14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is to make provisions for the cancellation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of any local fishing boat and the licence for fishing operations,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 of persons engaging in Illegal, Unreported and Unregulated fishing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operations in waters within the jurisdiction of another State.</w:t>
      </w:r>
    </w:p>
    <w:p>
      <w:pPr>
        <w:autoSpaceDN w:val="0"/>
        <w:autoSpaceDE w:val="0"/>
        <w:widowControl/>
        <w:spacing w:line="238" w:lineRule="auto" w:before="202" w:after="0"/>
        <w:ind w:left="158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repeals section 16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5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49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increase the fine imposed on the basis of the length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fishing boat in respect of an offence committed under section 49(4) of the Act and to make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 for the imposing of a separate fine excluding the applicability of section 49(4) </w:t>
      </w:r>
      <w:r>
        <w:rPr>
          <w:rFonts w:ascii="Times" w:hAnsi="Times" w:eastAsia="Times"/>
          <w:b w:val="0"/>
          <w:i w:val="0"/>
          <w:color w:val="000000"/>
          <w:sz w:val="16"/>
        </w:rPr>
        <w:t>in respect of any person referred to in section 49(4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2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6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new sections 49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49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legal effect of the sections is to make provisions to impose a penalty if no penalty is </w:t>
      </w:r>
      <w:r>
        <w:rPr>
          <w:rFonts w:ascii="Times" w:hAnsi="Times" w:eastAsia="Times"/>
          <w:b w:val="0"/>
          <w:i w:val="0"/>
          <w:color w:val="000000"/>
          <w:sz w:val="16"/>
        </w:rPr>
        <w:t>expressly provided in the Act in respect of a person who contravenes section 14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enactment or any other provision of the principal enactment (other than any </w:t>
      </w:r>
      <w:r>
        <w:rPr>
          <w:rFonts w:ascii="Times" w:hAnsi="Times" w:eastAsia="Times"/>
          <w:b w:val="0"/>
          <w:i w:val="0"/>
          <w:color w:val="000000"/>
          <w:sz w:val="16"/>
        </w:rPr>
        <w:t>regulation made under the principal enactment).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7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66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to:-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include in the definition of the expression “authorized officer”, any Coast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Guard officer of the Department of Coast Guard;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include  new definitions for the expressions “Illegal, Unreported and Unregulated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(IUU) fishing Operations” and  “skipper”, in the principal 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Fisheries and Aquatic Resources (Amendment)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1/2021</w:t>
      </w:r>
    </w:p>
    <w:p>
      <w:pPr>
        <w:autoSpaceDN w:val="0"/>
        <w:autoSpaceDE w:val="0"/>
        <w:widowControl/>
        <w:spacing w:line="247" w:lineRule="auto" w:before="266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ISHERIES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QUATIC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ESOURCES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1996</w:t>
      </w:r>
    </w:p>
    <w:p>
      <w:pPr>
        <w:autoSpaceDN w:val="0"/>
        <w:autoSpaceDE w:val="0"/>
        <w:widowControl/>
        <w:spacing w:line="247" w:lineRule="auto" w:before="26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7" w:lineRule="auto" w:before="266" w:after="196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Fisheries and Aquatic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Resources (Amendment) Act, No. 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Fisheries and Aquatic Resources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2 of 1996 (hereinafter referred to as the “principal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Act,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repealed and the following new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No.2 of 1996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substituted therefor: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“Prohibition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person shall not use, or cause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54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fishing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waters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" w:after="0"/>
              <w:ind w:left="11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used, a local fishing boat to which a licence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granted under this Part, for fishing operations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waters within the national jurisdiction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State, unless authorized to do so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laws of that State.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26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contravenes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 shall be guilty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offence under this Act.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4" w:lineRule="auto" w:before="26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this section, a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include the owner of the boat, the holder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licence issued in respect of such boat,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skipper of the boat, any member of the crew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person on board of such boat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of the commission of such offence: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2" w:lineRule="auto" w:before="26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person on board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boat shall not be deemed to be guilty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if such person proves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was committed without the knowledge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Fisheries and Aquatic Resources (Amendment)</w:t>
      </w:r>
    </w:p>
    <w:p>
      <w:pPr>
        <w:autoSpaceDN w:val="0"/>
        <w:autoSpaceDE w:val="0"/>
        <w:widowControl/>
        <w:spacing w:line="245" w:lineRule="auto" w:before="488" w:after="18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person or that he exercised all due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diligence to prevent the commission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part is hereby inserted immediately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PART II A of the principal enactment and shall have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PART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II B in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as PART II B of that enactment:-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1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“PART II B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person shall not engage in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Illegal,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Unreported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Illegal, Unreported or Unregulated fishing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operations in Sri Lanka Waters or High seas.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Unregulated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fishing in Sri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person who contravenes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Lanka Waters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High Seas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subsection (1) shall be guilty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For the purpose of this section, a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include the owner of the boat, the holder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licence issued in respect of such boat,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skipper of the boat, any member of the crew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person on board of such boat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of the commission of such offence: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45" w:lineRule="auto" w:before="222" w:after="182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person on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boat shall not be deemed to be guilty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if such person proves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was committed without the knowledge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person or that he exercised all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diligence to prevent the commission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Director- General may, where 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etc.,  of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reasonable grounds to believe that any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is engaged in any Illegal, Unreported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fishing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Unregulated fishing operations in waters</w:t>
            </w:r>
          </w:p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boats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license for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jurisdiction of another State, and</w:t>
            </w:r>
          </w:p>
        </w:tc>
      </w:tr>
      <w:tr>
        <w:trPr>
          <w:trHeight w:hRule="exact" w:val="23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fishing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fishing boat used for such operations is a</w:t>
            </w:r>
          </w:p>
        </w:tc>
      </w:tr>
      <w:tr>
        <w:trPr>
          <w:trHeight w:hRule="exact" w:val="231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local fishing boat registered under section 15,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Fisheries and Aquatic Resources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2" w:lineRule="auto" w:before="498" w:after="20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may, after affording such person or the owner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boat, as the case may be, an opportunity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being heard-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 or suspend for such period as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him,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35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such boat as a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fishing boat under section 15; and</w:t>
      </w:r>
    </w:p>
    <w:p>
      <w:pPr>
        <w:autoSpaceDN w:val="0"/>
        <w:tabs>
          <w:tab w:pos="3132" w:val="left"/>
          <w:tab w:pos="3596" w:val="left"/>
          <w:tab w:pos="3598" w:val="left"/>
        </w:tabs>
        <w:autoSpaceDE w:val="0"/>
        <w:widowControl/>
        <w:spacing w:line="257" w:lineRule="auto" w:before="270" w:after="4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 or suspend for such period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him,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 issued in respect of that fishing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boat, under section 6 or section 14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authorizing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to engage in any prescribed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fishing operations in Sri Lanka waters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High Seas, as the case may be.”.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212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49 of the principal enactment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49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(4)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all the words from “shall be guilty of an offence”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end of that section, of the following: -</w:t>
      </w:r>
    </w:p>
    <w:p>
      <w:pPr>
        <w:autoSpaceDN w:val="0"/>
        <w:tabs>
          <w:tab w:pos="2758" w:val="left"/>
        </w:tabs>
        <w:autoSpaceDE w:val="0"/>
        <w:widowControl/>
        <w:spacing w:line="257" w:lineRule="auto" w:before="27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“shall be guilty of an offence under this Act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conviction after summary trial before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be liable to a fine not less than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amounts specified in Column II of the Schedule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hereto which shall be determined by taking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 the length of the fishing boat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corresponding entry in the Column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 of the said Schedule:-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Fisheries and Aquatic Resources (Amendment)</w:t>
      </w:r>
    </w:p>
    <w:p>
      <w:pPr>
        <w:autoSpaceDN w:val="0"/>
        <w:autoSpaceDE w:val="0"/>
        <w:widowControl/>
        <w:spacing w:line="238" w:lineRule="auto" w:before="4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CHEDULE</w:t>
      </w:r>
    </w:p>
    <w:p>
      <w:pPr>
        <w:autoSpaceDN w:val="0"/>
        <w:tabs>
          <w:tab w:pos="3128" w:val="left"/>
          <w:tab w:pos="5232" w:val="left"/>
          <w:tab w:pos="5418" w:val="left"/>
        </w:tabs>
        <w:autoSpaceDE w:val="0"/>
        <w:widowControl/>
        <w:spacing w:line="245" w:lineRule="auto" w:before="254" w:after="0"/>
        <w:ind w:left="2818" w:right="2880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Column I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Column II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Length of a boat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Fines</w:t>
      </w:r>
    </w:p>
    <w:p>
      <w:pPr>
        <w:autoSpaceDN w:val="0"/>
        <w:autoSpaceDE w:val="0"/>
        <w:widowControl/>
        <w:spacing w:line="238" w:lineRule="auto" w:before="252" w:after="6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10.3 to less than 15 meters Rupees   50,000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 to less than 24 meters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100,000</w:t>
            </w:r>
          </w:p>
        </w:tc>
      </w:tr>
      <w:tr>
        <w:trPr>
          <w:trHeight w:hRule="exact" w:val="2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 to less than 45 meters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500,000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45 to 75 meters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1 Million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 than 75 meters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5 Million.”.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subsection (4) of</w:t>
            </w:r>
          </w:p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section of the following subsection: -</w:t>
            </w:r>
          </w:p>
        </w:tc>
      </w:tr>
    </w:tbl>
    <w:p>
      <w:pPr>
        <w:autoSpaceDN w:val="0"/>
        <w:autoSpaceDE w:val="0"/>
        <w:widowControl/>
        <w:spacing w:line="247" w:lineRule="auto" w:before="192" w:after="6"/>
        <w:ind w:left="242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). Notwithstanding anything contained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(4),</w:t>
      </w:r>
      <w:r>
        <w:rPr>
          <w:rFonts w:ascii="Times" w:hAnsi="Times" w:eastAsia="Times"/>
          <w:b w:val="0"/>
          <w:i w:val="0"/>
          <w:color w:val="221F1F"/>
          <w:sz w:val="20"/>
        </w:rPr>
        <w:t>any 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a party to a fishing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dispute not involving a fishing boat fails to appear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an authorized officer when summoned to do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under subsection (2) of section 44 or being a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to a settlement not involving a fishing boat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under subsection (3) of section 44 fails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comply with the terms of such settlement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guilty of an offence and shall on conviction 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summary trial before a Magistrate be liable to a fine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36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not less than fifty thousand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49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sections 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2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“Penalty for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Any person who contravenes or fails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Illegal,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 with the provisions of section 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Unreported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shall be guilty of an offence under this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and if no penalty is expressly provided for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Unregulated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fishing in Sri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offence in the Act, shall on conviction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 Waters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summary trial by a Magistrate be liable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High Seas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fine not less than one hundred thousand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7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3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Fisheries and Aquatic Resources (Amendment)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1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5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Penalty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penalty 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expressly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54" w:after="0"/>
              <w:ind w:left="116" w:right="1202" w:firstLine="23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Subject to the provisions of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any person who contravenes or fails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comply with any provision of this Act (other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any regulation made under this Act,) in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provided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which no penalty is expressly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for, shall be guilty of an offence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conviction after summary trial before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Magistrate be liable to a fine not less than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fifty thousand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66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definition of the expression “authorized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officer” by the substitution for the words “Sergeant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any officer of the Navy not below the rank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Petty Officer” of the words and figures “Sergeant,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18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officer of the Navy not below the rank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Petty Officer or any Coast Guard officer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Coast Guard established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Department of Coast Guard Act, No. 41 of 2009;”;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“High Seas” of the following new definition: -</w:t>
      </w:r>
    </w:p>
    <w:p>
      <w:pPr>
        <w:autoSpaceDN w:val="0"/>
        <w:tabs>
          <w:tab w:pos="2756" w:val="left"/>
          <w:tab w:pos="3236" w:val="left"/>
        </w:tabs>
        <w:autoSpaceDE w:val="0"/>
        <w:widowControl/>
        <w:spacing w:line="250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““Illegal, Unreported and Unregulated (IUU)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Fishing Operations” includes fishing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operations set out in paragraph 3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Plan of Action to Prevent,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 and Eliminate Illegal, Unreported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Unregulated Fishing (IUU Fishing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of Action) adopted by the UN Food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Agriculture Organization (FAO)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on Port State Measures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Prevent, Deter, and Eliminate Illegal,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Unreported and Unregulated Fishing 2009,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adopted by the Resolutions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Indian Ocean</w:t>
      </w:r>
      <w:r>
        <w:rPr>
          <w:rFonts w:ascii="Times" w:hAnsi="Times" w:eastAsia="Times"/>
          <w:b w:val="0"/>
          <w:i w:val="0"/>
          <w:strike/>
          <w:color w:val="221F1F"/>
          <w:sz w:val="20"/>
        </w:rPr>
        <w:t xml:space="preserve"> </w:t>
      </w:r>
      <w:r>
        <w:rPr>
          <w:rFonts w:ascii="Times" w:hAnsi="Times" w:eastAsia="Times"/>
          <w:b w:val="0"/>
          <w:i w:val="0"/>
          <w:color w:val="221F1F"/>
          <w:sz w:val="20"/>
        </w:rPr>
        <w:t>Tuna Commission, fishing</w:t>
      </w:r>
    </w:p>
    <w:p>
      <w:pPr>
        <w:autoSpaceDN w:val="0"/>
        <w:tabs>
          <w:tab w:pos="3238" w:val="left"/>
        </w:tabs>
        <w:autoSpaceDE w:val="0"/>
        <w:widowControl/>
        <w:spacing w:line="319" w:lineRule="auto" w:before="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operations conducted in contravention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Fisheries and Aquatic Resources (Amendment)</w:t>
      </w:r>
    </w:p>
    <w:p>
      <w:pPr>
        <w:autoSpaceDN w:val="0"/>
        <w:autoSpaceDE w:val="0"/>
        <w:widowControl/>
        <w:spacing w:line="245" w:lineRule="auto" w:before="494" w:after="8"/>
        <w:ind w:left="302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and conservation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measures adopted by the other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Regional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Fisheries 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47" w:lineRule="auto" w:before="6" w:after="2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(RFMOs) of which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party, and fishing operations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conducted in contravention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Lanka’s obligations towards conservation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living marine resources under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the applicable International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Laws;”;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“sedentary species” of the following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247" w:lineRule="auto" w:before="254" w:after="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““Skipper” means the person who is in command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fishing vessel and provides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instructions on the route, estimate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of catch and manages the crew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onboard. The master or captain on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also considered as serving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capacity of a skipper.”.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0.0" w:type="dxa"/>
      </w:tblPr>
      <w:tblGrid>
        <w:gridCol w:w="4510"/>
        <w:gridCol w:w="4510"/>
      </w:tblGrid>
      <w:tr>
        <w:trPr>
          <w:trHeight w:hRule="exact" w:val="9584"/>
        </w:trPr>
        <w:tc>
          <w:tcPr>
            <w:tcW w:type="dxa" w:w="485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Fisheries and Aquatic Resources (Amendment)</w:t>
            </w:r>
          </w:p>
        </w:tc>
        <w:tc>
          <w:tcPr>
            <w:tcW w:type="dxa" w:w="144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33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