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98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574" w:after="0"/>
        <w:ind w:left="0" w:right="2810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PARTITION (AMENDMENT)</w:t>
      </w:r>
    </w:p>
    <w:p>
      <w:pPr>
        <w:autoSpaceDN w:val="0"/>
        <w:autoSpaceDE w:val="0"/>
        <w:widowControl/>
        <w:spacing w:line="238" w:lineRule="auto" w:before="344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9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506" w:after="0"/>
        <w:ind w:left="0" w:right="2714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to  amend the Partition Law, No. 21 of 1977</w:t>
      </w:r>
    </w:p>
    <w:p>
      <w:pPr>
        <w:autoSpaceDN w:val="0"/>
        <w:autoSpaceDE w:val="0"/>
        <w:widowControl/>
        <w:spacing w:line="238" w:lineRule="auto" w:before="22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40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23rd of March, 2023</w:t>
      </w:r>
    </w:p>
    <w:p>
      <w:pPr>
        <w:autoSpaceDN w:val="0"/>
        <w:autoSpaceDE w:val="0"/>
        <w:widowControl/>
        <w:spacing w:line="238" w:lineRule="auto" w:before="252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23,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5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76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168]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90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313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5" w:lineRule="auto" w:before="186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new section 2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to the Partition Law, No. 21 of 1977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enactment”). The new section enables the praveni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nilakaraya or any person who derives title from a praveni nilakaraya in a praveni pangu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temple land to institute a partition action for the partition or sale of such praveni pangu </w:t>
      </w:r>
      <w:r>
        <w:rPr>
          <w:rFonts w:ascii="Times" w:hAnsi="Times" w:eastAsia="Times"/>
          <w:b w:val="0"/>
          <w:i w:val="0"/>
          <w:color w:val="000000"/>
          <w:sz w:val="16"/>
        </w:rPr>
        <w:t>in accordance with the provisions of the principal enactment.</w:t>
      </w:r>
    </w:p>
    <w:p>
      <w:pPr>
        <w:autoSpaceDN w:val="0"/>
        <w:autoSpaceDE w:val="0"/>
        <w:widowControl/>
        <w:spacing w:line="245" w:lineRule="auto" w:before="178" w:after="0"/>
        <w:ind w:left="1436" w:right="134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15 of the principal enactment by making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for the public announcement on the partition action by way of exhibiting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banner and using a loudspeaker to enable all persons having interest in the land to be </w:t>
      </w:r>
      <w:r>
        <w:rPr>
          <w:rFonts w:ascii="Times" w:hAnsi="Times" w:eastAsia="Times"/>
          <w:b w:val="0"/>
          <w:i w:val="0"/>
          <w:color w:val="000000"/>
          <w:sz w:val="16"/>
        </w:rPr>
        <w:t>partitioned, to become aware of such partition action.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16 of the principal enactment which enables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court to issue further commissions to any surveyor referred to in section 73 either on its </w:t>
      </w:r>
      <w:r>
        <w:rPr>
          <w:rFonts w:ascii="Times" w:hAnsi="Times" w:eastAsia="Times"/>
          <w:b w:val="0"/>
          <w:i w:val="0"/>
          <w:color w:val="000000"/>
          <w:sz w:val="16"/>
        </w:rPr>
        <w:t>own motion or at the instance of any party to the action for the adjudication of the action.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7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17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23 of the principal enactment by providing for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time period to file a list of documents to a party who intervenes after the first date fixed </w:t>
      </w:r>
      <w:r>
        <w:rPr>
          <w:rFonts w:ascii="Times" w:hAnsi="Times" w:eastAsia="Times"/>
          <w:b w:val="0"/>
          <w:i w:val="0"/>
          <w:color w:val="000000"/>
          <w:sz w:val="16"/>
        </w:rPr>
        <w:t>for trial.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27 of the principal enactment enabling the court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issue the commission for the division of the land in to lots to the surveyor who made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preliminary survey or any surveyor whose name is in the list referred to in section 73 or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other surveyor upon agreement of all parties who have been awarded any right by the </w:t>
      </w:r>
      <w:r>
        <w:rPr>
          <w:rFonts w:ascii="Times" w:hAnsi="Times" w:eastAsia="Times"/>
          <w:b w:val="0"/>
          <w:i w:val="0"/>
          <w:color w:val="000000"/>
          <w:sz w:val="16"/>
        </w:rPr>
        <w:t>interlocutory decree entered under section 26 of the principal enactment.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7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30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36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by providing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 dissatisfied with an order made under section 36 to prefer an application for leave </w:t>
      </w:r>
      <w:r>
        <w:rPr>
          <w:rFonts w:ascii="Times" w:hAnsi="Times" w:eastAsia="Times"/>
          <w:b w:val="0"/>
          <w:i w:val="0"/>
          <w:color w:val="000000"/>
          <w:sz w:val="16"/>
        </w:rPr>
        <w:t>to appeal to the Court of Appeal against such order.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 principal enactment by rectifying an </w:t>
      </w:r>
      <w:r>
        <w:rPr>
          <w:rFonts w:ascii="Times" w:hAnsi="Times" w:eastAsia="Times"/>
          <w:b w:val="0"/>
          <w:i w:val="0"/>
          <w:color w:val="000000"/>
          <w:sz w:val="16"/>
        </w:rPr>
        <w:t>error occurred in that section in making a wrong reference inadvertently  to sections 36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6"/>
        </w:rPr>
        <w:t>and 45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7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48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the principal enactment by clause 2.</w:t>
      </w:r>
    </w:p>
    <w:p>
      <w:pPr>
        <w:autoSpaceDN w:val="0"/>
        <w:tabs>
          <w:tab w:pos="1676" w:val="left"/>
        </w:tabs>
        <w:autoSpaceDE w:val="0"/>
        <w:widowControl/>
        <w:spacing w:line="245" w:lineRule="auto" w:before="178" w:after="0"/>
        <w:ind w:left="1436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57 of the principal enactment and is consequential </w:t>
      </w:r>
      <w:r>
        <w:rPr>
          <w:rFonts w:ascii="Times" w:hAnsi="Times" w:eastAsia="Times"/>
          <w:b w:val="0"/>
          <w:i w:val="0"/>
          <w:color w:val="000000"/>
          <w:sz w:val="16"/>
        </w:rPr>
        <w:t>to the amendment made to section 15 of the principal enactment by clause 3.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83 of the principal enactment by the insertion </w:t>
      </w:r>
      <w:r>
        <w:rPr>
          <w:rFonts w:ascii="Times" w:hAnsi="Times" w:eastAsia="Times"/>
          <w:b w:val="0"/>
          <w:i w:val="0"/>
          <w:color w:val="000000"/>
          <w:sz w:val="16"/>
        </w:rPr>
        <w:t>of definitions for the terms “praveni nilakaraya”, “praveni pangu”, “temple” and “trustee”</w:t>
      </w:r>
      <w:r>
        <w:rPr>
          <w:rFonts w:ascii="Times" w:hAnsi="Times" w:eastAsia="Times"/>
          <w:b w:val="0"/>
          <w:i w:val="0"/>
          <w:color w:val="000000"/>
          <w:sz w:val="16"/>
        </w:rPr>
        <w:t>and is consequential to the amendment made to the principal enactment by clause 2.</w:t>
      </w:r>
    </w:p>
    <w:p>
      <w:pPr>
        <w:autoSpaceDN w:val="0"/>
        <w:autoSpaceDE w:val="0"/>
        <w:widowControl/>
        <w:spacing w:line="245" w:lineRule="auto" w:before="178" w:after="0"/>
        <w:ind w:left="1436" w:right="1342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form which bears the title “REPORT BY GRAMA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NILADHARI” in the Second Schedule to the principal enactment and is consequential to </w:t>
      </w:r>
      <w:r>
        <w:rPr>
          <w:rFonts w:ascii="Times" w:hAnsi="Times" w:eastAsia="Times"/>
          <w:b w:val="0"/>
          <w:i w:val="0"/>
          <w:color w:val="000000"/>
          <w:sz w:val="16"/>
        </w:rPr>
        <w:t>the amendment made to section 15 of the principal enactment by clause 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68/2021</w:t>
      </w:r>
    </w:p>
    <w:p>
      <w:pPr>
        <w:autoSpaceDN w:val="0"/>
        <w:autoSpaceDE w:val="0"/>
        <w:widowControl/>
        <w:spacing w:line="235" w:lineRule="auto" w:before="254" w:after="0"/>
        <w:ind w:left="21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ARTITION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AW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21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1977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p>
      <w:pPr>
        <w:autoSpaceDN w:val="0"/>
        <w:tabs>
          <w:tab w:pos="1996" w:val="left"/>
          <w:tab w:pos="6702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Partition (Amendment)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Partition Law, No. 21 of 1977 (hereinafter referred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as the “principal enactment”) is hereby amended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Law, No. 21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insertion immediately after section 2 thereof,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1977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 section which shall have effect as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thereof:-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“Institution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praveni nilakaraya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54"/>
        </w:trPr>
        <w:tc>
          <w:tcPr>
            <w:tcW w:type="dxa" w:w="2255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partition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action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praveni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nilakaraya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15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derives title from a praveni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nilakaraya in a praveni pangu of a temple land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be entitled to institute a partition action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partition or sale of such praveni pangu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accordance with the provisions of this Law.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there are more than one praveni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nilakarayas or persons having an interest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praveni pangu, such praveni nilakarayas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persons may be made parties to any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instituted under subsection (1).</w:t>
      </w:r>
    </w:p>
    <w:p>
      <w:pPr>
        <w:autoSpaceDN w:val="0"/>
        <w:tabs>
          <w:tab w:pos="2878" w:val="left"/>
          <w:tab w:pos="3116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it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hereby stated that the partition or sale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praveni pangu shall not affect any rights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temple enforceable under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 Tenures Ordinance (Chapter 467)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temple shall be entitled to exercise rights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such Ordinance through its trustee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Viharadhipathi as the case may be, as though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partition or sale had occurred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entirety of the praveni pangu or any portion</w:t>
      </w:r>
    </w:p>
    <w:p>
      <w:pPr>
        <w:autoSpaceDN w:val="0"/>
        <w:tabs>
          <w:tab w:pos="2878" w:val="left"/>
        </w:tabs>
        <w:autoSpaceDE w:val="0"/>
        <w:widowControl/>
        <w:spacing w:line="288" w:lineRule="auto" w:before="14" w:after="0"/>
        <w:ind w:left="14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 as the case may be.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right of a temple enforceable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Service Tenures Ordinance (Chapter 467)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remain unaffected irrespective of the fact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that a trustee or a Viharadhipathi of such temple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been or has not been made a party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partition action instituted under the provisions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this section.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4" w:after="6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trustee appointed with reference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temple referred to in subsection (1)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Buddhist Temporalities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318) or a Viharadipathi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temple which is exempted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section 4(1) of the Buddhist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Temporalities Ordinance (Chapter 318),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case may be, may make an application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party to the partition action instituted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0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such trustee or Viharadhipathi,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case may be, makes an application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this subsection, the court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such trustee or Viharadhipathi a party to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1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action.”.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15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(2) and (3)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subsections:-</w:t>
      </w:r>
    </w:p>
    <w:p>
      <w:pPr>
        <w:autoSpaceDN w:val="0"/>
        <w:autoSpaceDE w:val="0"/>
        <w:widowControl/>
        <w:spacing w:line="245" w:lineRule="auto" w:before="254" w:after="6"/>
        <w:ind w:left="2422" w:right="2448" w:firstLine="22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Every Grama Niladhari to whom a copy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notice  and a copy of a translation thereof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sent by registered post under subsection (1)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shall cause  the contents of the notice,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Schedule of the land or lands, as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to be exhibited in a banner displayed,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the manner as may be prescribed by regulations,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2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Partition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7" w:lineRule="auto" w:before="49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a conspicuous place in his office or close to 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 for a period of not less than thirty days,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forward to the court  a report to that effect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substantially in the form set out in the Second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14" w:after="0"/>
        <w:ind w:left="15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autoSpaceDE w:val="0"/>
        <w:widowControl/>
        <w:spacing w:line="247" w:lineRule="auto" w:before="224" w:after="194"/>
        <w:ind w:left="2518" w:right="2422" w:firstLine="2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Grama Niladhari shall also cause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contents of the notice sent to him under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this section, including the Schedule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 or lands as the case may be-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exhibited in  a banner, in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conspicuous position in the land or lands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case may be, in the manners as may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prescribed by regulations;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orally proclaimed by way of public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announcement made using a loudspeaker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at such land or each of such lands  and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 place close to such land or each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lands, as the case may be,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forward to the court a report to that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substantially in the form set out in the 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Schedule.”;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addition, at the end of that section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 new subsection:-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3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“(4) The cost of the publication done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subsections (2) and (3) of this section shall be borne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plaintiff in the first instance and shall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recoverable “</w:t>
      </w:r>
      <w:r>
        <w:rPr>
          <w:rFonts w:ascii="Times" w:hAnsi="Times" w:eastAsia="Times"/>
          <w:b w:val="0"/>
          <w:i/>
          <w:color w:val="000000"/>
          <w:sz w:val="20"/>
        </w:rPr>
        <w:t>pro</w:t>
      </w:r>
      <w:r>
        <w:rPr>
          <w:rFonts w:ascii="Times" w:hAnsi="Times" w:eastAsia="Times"/>
          <w:b w:val="0"/>
          <w:i/>
          <w:color w:val="000000"/>
          <w:sz w:val="20"/>
        </w:rPr>
        <w:t>rata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”. The Grama Niladhari 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forward an affidavit to the court affirming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execution of the publications referred to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subsections (2) and (3) of this section along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reports referred to in subsections (2) and (3)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within two months from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receipt of such notice.”.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9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2" w:after="0"/>
              <w:ind w:left="8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16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7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72" w:after="0"/>
              <w:ind w:left="862" w:right="56" w:firstLine="20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(2) of that section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6642" w:val="left"/>
        </w:tabs>
        <w:autoSpaceDE w:val="0"/>
        <w:widowControl/>
        <w:spacing w:line="266" w:lineRule="auto" w:before="4" w:after="0"/>
        <w:ind w:left="230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rPr>
          <w:rFonts w:ascii="Times" w:hAnsi="Times" w:eastAsia="Times"/>
          <w:b w:val="0"/>
          <w:i w:val="0"/>
          <w:color w:val="000000"/>
          <w:sz w:val="20"/>
        </w:rPr>
        <w:t>“(2)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commission issued to a surveyor under</w:t>
      </w:r>
    </w:p>
    <w:p>
      <w:pPr>
        <w:autoSpaceDN w:val="0"/>
        <w:tabs>
          <w:tab w:pos="2062" w:val="left"/>
        </w:tabs>
        <w:autoSpaceDE w:val="0"/>
        <w:widowControl/>
        <w:spacing w:line="264" w:lineRule="auto" w:before="32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of this section shall be substantially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form set out in the Second Schedule and shall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attached thereto a copy of the plaint certified as a true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copy by the registered attorney for the plaintiff.</w:t>
      </w:r>
    </w:p>
    <w:p>
      <w:pPr>
        <w:autoSpaceDN w:val="0"/>
        <w:tabs>
          <w:tab w:pos="2062" w:val="left"/>
          <w:tab w:pos="2302" w:val="left"/>
        </w:tabs>
        <w:autoSpaceDE w:val="0"/>
        <w:widowControl/>
        <w:spacing w:line="264" w:lineRule="auto" w:before="292" w:after="232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court may, upon transmit to it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18 the plan prepared by the surveyor in the  execution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issued under subsection (1), order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 a further commission, on its own motion or at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instance of any party to the action, authorizing-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surveyor referred to in subsection (1) or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surveyor whose name is specified in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4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surveyors referred to in section 73,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survey any larger or smaller portion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  that was surveyed under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issued under  subsection (1);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surveyor other than the surveyor referred</w:t>
            </w:r>
          </w:p>
        </w:tc>
      </w:tr>
    </w:tbl>
    <w:p>
      <w:pPr>
        <w:autoSpaceDN w:val="0"/>
        <w:tabs>
          <w:tab w:pos="2842" w:val="left"/>
        </w:tabs>
        <w:autoSpaceDE w:val="0"/>
        <w:widowControl/>
        <w:spacing w:line="264" w:lineRule="auto" w:before="1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 subsection (1) and whose name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list of surveyors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73, to resurvey the land that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surveyed under the commission issued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(1),</w:t>
      </w:r>
    </w:p>
    <w:p>
      <w:pPr>
        <w:autoSpaceDN w:val="0"/>
        <w:tabs>
          <w:tab w:pos="2002" w:val="left"/>
        </w:tabs>
        <w:autoSpaceDE w:val="0"/>
        <w:widowControl/>
        <w:spacing w:line="266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may also direct the surveyor who executes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further commission to superimpose the plan 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further commission on the plan prepared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execution of the commission issued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to carry out any other similar matter necessary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adjudication of the action.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326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Partition (Amendment)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2" w:lineRule="auto" w:before="496" w:after="10"/>
        <w:ind w:left="215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execution of the further commission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), the provisions of paragraph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subsection, the provisions of subsections (1), (3),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(4), (5) and (6) of this section and the provisions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sections 17 and 18 shall 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apply in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4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thereof.”.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17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“after beat of tom-tom,” of the words “by way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public announcement made using a loudspeaker,”.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23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by the substitution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23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all the words from “Every party to a partition action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shall,” to “the contents of such documents.” of the words-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“Every party to a partition action shall, not less than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8" w:after="8"/>
        <w:ind w:left="20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thirty days before the date first fixed for the trial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action, file or cause to be filed in the court a list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on which he relies to prove his right, share or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to, of or in the land together with an abstract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contents of such documents. Where a party is allowed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intervene after the first date fixed for trial, such party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file a list of documents within thirty days of such </w:t>
      </w:r>
      <w:r>
        <w:rPr>
          <w:rFonts w:ascii="Times" w:hAnsi="Times" w:eastAsia="Times"/>
          <w:b w:val="0"/>
          <w:i w:val="0"/>
          <w:color w:val="000000"/>
          <w:sz w:val="20"/>
        </w:rPr>
        <w:t>intervention.”.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2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27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(3) of that section and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27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 subsection:-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tabs>
          <w:tab w:pos="2578" w:val="left"/>
          <w:tab w:pos="6736" w:val="left"/>
        </w:tabs>
        <w:autoSpaceDE w:val="0"/>
        <w:widowControl/>
        <w:spacing w:line="250" w:lineRule="auto" w:before="4" w:after="8"/>
        <w:ind w:left="233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Where the court decides that the land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portion thereof shall be partitioned, the commission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subsection (2) of this section shall be issued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surveyor who made the preliminary survey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17 unless the court decides to issue it to any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304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surveyor whose name is specified in the list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section 73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>where court deemed fit,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5" w:lineRule="auto" w:before="484" w:after="138"/>
        <w:ind w:left="224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anything to the contrary in 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73, to any other surveyor upon agreement of all parties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have been awarded any right by the interlocutory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decree entered under section 26.”.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9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30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(3)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30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“after beat of tom-tom,” of the words “by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public announcement made using a loudspeaker,”.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“Application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person dissatisfied with an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leave to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the court under section 36 may prefer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application for leave to appeal to the Court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Appeal in terms of subsection (2)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754 of the Civil Procedure Code (Chapter 101)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against such order.”.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“under sections 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45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“under sections 36 and 45”.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of that section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48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 lease at will or for a period not exceeding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month.” of the words “a lease at will or for a period not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exceeding one month or the rights of a temple enforceable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0" w:after="17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under the Service Tenures Ordinance (Chapter 467).”.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57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57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 and substitution therefor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cost incurred in the  display of the banner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 proclamation made under section 15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cost incurred in the proclamation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17;”.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7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1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2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83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9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83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“land” by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“of that action;”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“of that action and it shall also include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praveni pangu of a temple land as specified in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0"/>
        <w:ind w:left="0" w:right="5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;”;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45" w:lineRule="auto" w:before="238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 immediately after the definition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expression “partition action”,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new definitions:-</w:t>
      </w:r>
    </w:p>
    <w:p>
      <w:pPr>
        <w:autoSpaceDN w:val="0"/>
        <w:tabs>
          <w:tab w:pos="2878" w:val="left"/>
          <w:tab w:pos="3298" w:val="left"/>
        </w:tabs>
        <w:autoSpaceDE w:val="0"/>
        <w:widowControl/>
        <w:spacing w:line="245" w:lineRule="auto" w:before="23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““praveni nilakaraya” shall have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assigned to it under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 of the Service Tenures Ordinance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467) to the extent it relates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temple;</w:t>
      </w:r>
    </w:p>
    <w:p>
      <w:pPr>
        <w:autoSpaceDN w:val="0"/>
        <w:autoSpaceDE w:val="0"/>
        <w:widowControl/>
        <w:spacing w:line="245" w:lineRule="auto" w:before="224" w:after="4"/>
        <w:ind w:left="3298" w:right="2422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“praveni pangu” shall include any land or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of any land held by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subject to the performance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 or rendering of any duties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temple as defined in section 2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Buddhist Temporalities Ordinance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318) in  respect of which an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commuted dues in lieu of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15 of the Service Tenures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Ordinance (Chapter 467) has been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include the same meaning</w:t>
            </w:r>
          </w:p>
        </w:tc>
      </w:tr>
    </w:tbl>
    <w:p>
      <w:pPr>
        <w:autoSpaceDN w:val="0"/>
        <w:autoSpaceDE w:val="0"/>
        <w:widowControl/>
        <w:spacing w:line="245" w:lineRule="auto" w:before="4" w:after="176"/>
        <w:ind w:left="32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 the Service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Tenures Ordinance (Chapter 467)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extent it relates to a temple;”;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the expression “surveyor” by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for the words “ the time being in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force.” of the words “the time being in force;”;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5" w:lineRule="auto" w:before="23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immediately after the definition of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“surveyor”, of the following new definitions:-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4" w:val="left"/>
        </w:tabs>
        <w:autoSpaceDE w:val="0"/>
        <w:widowControl/>
        <w:spacing w:line="235" w:lineRule="auto" w:before="0" w:after="0"/>
        <w:ind w:left="1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Partition (Amendment)</w:t>
      </w:r>
    </w:p>
    <w:p>
      <w:pPr>
        <w:autoSpaceDN w:val="0"/>
        <w:autoSpaceDE w:val="0"/>
        <w:widowControl/>
        <w:spacing w:line="247" w:lineRule="auto" w:before="494" w:after="8"/>
        <w:ind w:left="32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““temple”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the Buddhist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Temporalities Ordinance (Chapter 318)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 so far as such temple is possessed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8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rights as specified under the Service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Tenures Ordinance (Chapter 467); and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320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“Trustee” shall have the same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it in section 2 of the Buddhist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Temporalities Ordinance (Chapter 318).”.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Second Schedule to the principal enactment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hereby amended in the Form prescribed  under subsection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of section 15 which bears the title “ REPORT BY GRAMA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Second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Schedule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NILADHARI”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and figures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“(Section 15(2))” of the words and figures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9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“(subsections (2) and (3) of section 15)”; and</w:t>
      </w:r>
    </w:p>
    <w:p>
      <w:pPr>
        <w:autoSpaceDN w:val="0"/>
        <w:tabs>
          <w:tab w:pos="2404" w:val="left"/>
          <w:tab w:pos="2424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 for the words “I have exhibited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annexed notice with translations on the notice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board of my office” of the following:-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 have exhibited the contents of the notice,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Schedule of the land in a banner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displayed in a conspicuous place in my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in a conspicuous place in the land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orally proclaimed by way of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announcement made using a loudspeaker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land and at any public place close to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land.”.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8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6" w:val="left"/>
              </w:tabs>
              <w:autoSpaceDE w:val="0"/>
              <w:widowControl/>
              <w:spacing w:line="245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6.0000000000002" w:type="dxa"/>
      </w:tblPr>
      <w:tblGrid>
        <w:gridCol w:w="4510"/>
        <w:gridCol w:w="4510"/>
      </w:tblGrid>
      <w:tr>
        <w:trPr>
          <w:trHeight w:hRule="exact" w:val="9574"/>
        </w:trPr>
        <w:tc>
          <w:tcPr>
            <w:tcW w:type="dxa" w:w="436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Partition (Amendment)</w:t>
            </w:r>
          </w:p>
        </w:tc>
        <w:tc>
          <w:tcPr>
            <w:tcW w:type="dxa" w:w="188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0" w:right="108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