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37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72" w:after="0"/>
        <w:ind w:left="1440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SRI LANKA INSTITUTE OF TRAINING AND </w:t>
      </w:r>
      <w:r>
        <w:rPr>
          <w:rFonts w:ascii="Times,Bold" w:hAnsi="Times,Bold" w:eastAsia="Times,Bold"/>
          <w:b/>
          <w:i w:val="0"/>
          <w:color w:val="221F1F"/>
          <w:sz w:val="28"/>
        </w:rPr>
        <w:t>DEVELOPMENT (INCORPORATION)</w:t>
      </w:r>
    </w:p>
    <w:p>
      <w:pPr>
        <w:autoSpaceDN w:val="0"/>
        <w:autoSpaceDE w:val="0"/>
        <w:widowControl/>
        <w:spacing w:line="238" w:lineRule="auto" w:before="194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08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60" w:after="0"/>
        <w:ind w:left="161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incorporate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Sri Lanka Institute of Training and Development</w:t>
      </w:r>
    </w:p>
    <w:p>
      <w:pPr>
        <w:autoSpaceDN w:val="0"/>
        <w:autoSpaceDE w:val="0"/>
        <w:widowControl/>
        <w:spacing w:line="235" w:lineRule="auto" w:before="38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66" w:after="0"/>
        <w:ind w:left="2016" w:right="216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Hon. (Mrs.) Kokila Gunawardene, M. 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Gampaha District on 23rd of March, 2023</w:t>
      </w:r>
    </w:p>
    <w:p>
      <w:pPr>
        <w:autoSpaceDN w:val="0"/>
        <w:autoSpaceDE w:val="0"/>
        <w:widowControl/>
        <w:spacing w:line="235" w:lineRule="auto" w:before="254" w:after="0"/>
        <w:ind w:left="0" w:right="26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February 06, 2023)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174" w:after="0"/>
        <w:ind w:left="0" w:right="383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1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169]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4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20.00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Institute of Training and Development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56" w:after="0"/>
        <w:ind w:left="2016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RAINING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EVELOPMENT</w:t>
      </w:r>
    </w:p>
    <w:p>
      <w:pPr>
        <w:autoSpaceDN w:val="0"/>
        <w:tabs>
          <w:tab w:pos="1798" w:val="left"/>
          <w:tab w:pos="6736" w:val="left"/>
        </w:tabs>
        <w:autoSpaceDE w:val="0"/>
        <w:widowControl/>
        <w:spacing w:line="252" w:lineRule="auto" w:before="264" w:after="0"/>
        <w:ind w:left="151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Institute called and known as the “Sri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Training and Development” has heretofore 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for the purpose of effectually carrying out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transacting all objects and matters connected  with the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 according to the rules 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264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Institute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established, and has applied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for the public advantage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grant the application:</w:t>
      </w:r>
    </w:p>
    <w:p>
      <w:pPr>
        <w:autoSpaceDN w:val="0"/>
        <w:autoSpaceDE w:val="0"/>
        <w:widowControl/>
        <w:spacing w:line="247" w:lineRule="auto" w:before="24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p>
      <w:pPr>
        <w:autoSpaceDN w:val="0"/>
        <w:tabs>
          <w:tab w:pos="2038" w:val="left"/>
          <w:tab w:pos="6736" w:val="left"/>
        </w:tabs>
        <w:autoSpaceDE w:val="0"/>
        <w:widowControl/>
        <w:spacing w:line="247" w:lineRule="auto" w:before="266" w:after="204"/>
        <w:ind w:left="1798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This Act may be cited as the Sri Lanka Institute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Training and Development (Incorporation) Act, No. 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persons,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Sri</w:t>
            </w:r>
          </w:p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Institute of Training and Development  (hereinafter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 of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 “the Institute”) and shall hereafter be  admitted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Training and</w:t>
            </w:r>
          </w:p>
        </w:tc>
      </w:tr>
      <w:tr>
        <w:trPr>
          <w:trHeight w:hRule="exact" w:val="25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members of the Corporation hereby constituted, shall be 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 (hereinafter referred to as the  “the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1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Corporation”) with perpetual succsection under the name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style of the “Sri Lanka Institute of Training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Development”, and by that name may sue and be sued in all </w:t>
      </w:r>
      <w:r>
        <w:rPr>
          <w:rFonts w:ascii="Times" w:hAnsi="Times" w:eastAsia="Times"/>
          <w:b w:val="0"/>
          <w:i w:val="0"/>
          <w:color w:val="221F1F"/>
          <w:sz w:val="20"/>
        </w:rPr>
        <w:t>courts, with full power and  authority to have and to  use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common seal and alter the same act its pleasure.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general objects for which the Corporation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 —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(a)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grant professional recognition to the members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the institute in the various grades of membership;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22" w:val="left"/>
          <w:tab w:pos="3466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Institute of Training and Development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60" w:after="216"/>
        <w:ind w:left="2018" w:right="2448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raise and uphold the interest, dignity, welfare,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rights and professional status, of those engaged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field of training and development;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(c)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maitain links with similar professional bodies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0" w:right="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(d)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both local and foreign;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intervene with the appropriate authorities when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issues arise that, may threaten the well-being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profession in general;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(e)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enhance professional togetherness by promoting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(f)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social activities among the membership;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establish, encourage and foster ethical and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professional standards of work and conduct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profession and to take necessary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expedient steps in this connection;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(g)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and promote maintenance of a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representive body for the training profession and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collect, collate, co-ordinate and distribute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information, ideas, methods and techniques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benefit and improvement of the training profession;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(h)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foster, promote, encourage and facilitate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discussion study and research and to disseminate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on matters and problems connected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 training;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(i)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encourage, foster and promote the creation of a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(j)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learning culture within Sri Lankan Organizations;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actively promote Human Resource Development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initiatives at the organizational level with a view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enhancement of the level of managerial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competencies in organizations;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58" w:val="left"/>
          <w:tab w:pos="6782" w:val="left"/>
        </w:tabs>
        <w:autoSpaceDE w:val="0"/>
        <w:widowControl/>
        <w:spacing w:line="245" w:lineRule="auto" w:before="0" w:after="0"/>
        <w:ind w:left="251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Institute of Training and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806" w:val="left"/>
        </w:tabs>
        <w:autoSpaceDE w:val="0"/>
        <w:widowControl/>
        <w:spacing w:line="276" w:lineRule="auto" w:before="278" w:after="266"/>
        <w:ind w:left="241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(k)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actively involved with, and explore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frontiers of, knowledge management to help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and their organizations to harness their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potential as a source of competitive advantage;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8.0" w:type="dxa"/>
      </w:tblPr>
      <w:tblGrid>
        <w:gridCol w:w="3103"/>
        <w:gridCol w:w="3103"/>
        <w:gridCol w:w="3103"/>
      </w:tblGrid>
      <w:tr>
        <w:trPr>
          <w:trHeight w:hRule="exact" w:val="31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(l)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generally to do all such acts and things as are</w:t>
            </w:r>
          </w:p>
        </w:tc>
      </w:tr>
    </w:tbl>
    <w:p>
      <w:pPr>
        <w:autoSpaceDN w:val="0"/>
        <w:autoSpaceDE w:val="0"/>
        <w:widowControl/>
        <w:spacing w:line="271" w:lineRule="auto" w:before="18" w:after="266"/>
        <w:ind w:left="280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for, or incidental or conductive to,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out or the attainment of the objects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27"/>
        <w:gridCol w:w="2327"/>
        <w:gridCol w:w="2327"/>
        <w:gridCol w:w="2327"/>
      </w:tblGrid>
      <w:tr>
        <w:trPr>
          <w:trHeight w:hRule="exact" w:val="256"/>
        </w:trPr>
        <w:tc>
          <w:tcPr>
            <w:tcW w:type="dxa" w:w="9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FFFFFF"/>
                <w:sz w:val="24"/>
              </w:rPr>
              <w:t>HJ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affairs of the Corporation shall, subject to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2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rules in force for the time being of the Corporation, be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3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administered by an Executive Council consisting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62" w:lineRule="auto" w:before="24" w:after="0"/>
        <w:ind w:left="208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office-bearers and such other persons as may be provided for </w:t>
      </w:r>
      <w:r>
        <w:rPr>
          <w:rFonts w:ascii="Times" w:hAnsi="Times" w:eastAsia="Times"/>
          <w:b w:val="0"/>
          <w:i w:val="0"/>
          <w:color w:val="221F1F"/>
          <w:sz w:val="20"/>
        </w:rPr>
        <w:t>in such rules and elected in accordance therewith.</w:t>
      </w:r>
    </w:p>
    <w:p>
      <w:pPr>
        <w:autoSpaceDN w:val="0"/>
        <w:tabs>
          <w:tab w:pos="2086" w:val="left"/>
          <w:tab w:pos="2326" w:val="left"/>
        </w:tabs>
        <w:autoSpaceDE w:val="0"/>
        <w:widowControl/>
        <w:spacing w:line="276" w:lineRule="auto" w:before="326" w:after="266"/>
        <w:ind w:left="17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first Executive Council of the Corporation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the members of the Executive Council of the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office on the day preceding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3103"/>
        <w:gridCol w:w="3103"/>
        <w:gridCol w:w="3103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It shall be lawful for the Corporation, from time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300"/>
        </w:trPr>
        <w:tc>
          <w:tcPr>
            <w:tcW w:type="dxa" w:w="310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of the members and by a majority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86"/>
        </w:trPr>
        <w:tc>
          <w:tcPr>
            <w:tcW w:type="dxa" w:w="310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not less than two-thirds of the members present and entitled</w:t>
            </w:r>
          </w:p>
        </w:tc>
        <w:tc>
          <w:tcPr>
            <w:tcW w:type="dxa" w:w="3103"/>
            <w:vMerge/>
            <w:tcBorders/>
          </w:tcPr>
          <w:p/>
        </w:tc>
      </w:tr>
    </w:tbl>
    <w:p>
      <w:pPr>
        <w:autoSpaceDN w:val="0"/>
        <w:tabs>
          <w:tab w:pos="2086" w:val="left"/>
        </w:tabs>
        <w:autoSpaceDE w:val="0"/>
        <w:widowControl/>
        <w:spacing w:line="283" w:lineRule="auto" w:before="22" w:after="0"/>
        <w:ind w:left="17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vote, to make rules, not inconsistent with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or any other written law, for the admission,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expulsion or withdrawal of members, for the election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Executive Council, for the conduct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of the Executive Council and of the various officers,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agents and servants of the Corporation, for the procedure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followed in the transation of business at meetings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and the Executive Council and otherwise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generally, for the management of the affairs of 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attainment of its objects.</w:t>
      </w:r>
    </w:p>
    <w:p>
      <w:pPr>
        <w:sectPr>
          <w:pgSz w:w="11900" w:h="16840"/>
          <w:pgMar w:top="1440" w:right="1440" w:bottom="1440" w:left="1152" w:header="720" w:footer="720" w:gutter="0"/>
          <w:cols w:space="720" w:num="1" w:equalWidth="0"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22" w:val="left"/>
          <w:tab w:pos="3466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Institute of Training and Development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8" w:after="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rules of the Institute in force on the day preceding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commencement of this Act shall, insofar as they </w:t>
      </w:r>
      <w:r>
        <w:rPr>
          <w:rFonts w:ascii="Times" w:hAnsi="Times" w:eastAsia="Times"/>
          <w:b w:val="0"/>
          <w:i w:val="0"/>
          <w:color w:val="221F1F"/>
          <w:sz w:val="20"/>
        </w:rPr>
        <w:t>are not inconsistent with the provisions of this Act or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law, be deemed to be the rules of the Corporation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under this section and may be altered, added to,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amended, rescinded or replaced by rules made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 rules of the Corporation for the time being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force nor any rules which may hereafter be passed,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to, amended or rescinded except by the votes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two-thirds of the members present and voting at a 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meeting of the Corporation:</w:t>
      </w:r>
    </w:p>
    <w:p>
      <w:pPr>
        <w:autoSpaceDN w:val="0"/>
        <w:autoSpaceDE w:val="0"/>
        <w:widowControl/>
        <w:spacing w:line="238" w:lineRule="auto" w:before="240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Provided however, that no such alteration, addition,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amendment or rescission shall have effect unless approved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Executive Council of the Corporation.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Executive Council of the Corporation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cause proper books of account to be kept of the income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expenditure of the Corporation.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18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accounts of the Corporation shall be audited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qualified auditor appointed by the Executive Council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Corporation.</w:t>
      </w:r>
    </w:p>
    <w:p>
      <w:pPr>
        <w:autoSpaceDN w:val="0"/>
        <w:autoSpaceDE w:val="0"/>
        <w:widowControl/>
        <w:spacing w:line="238" w:lineRule="auto" w:before="240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In this section, “qualified auditor” means-</w:t>
      </w:r>
    </w:p>
    <w:p>
      <w:pPr>
        <w:autoSpaceDN w:val="0"/>
        <w:tabs>
          <w:tab w:pos="2198" w:val="left"/>
          <w:tab w:pos="2602" w:val="left"/>
        </w:tabs>
        <w:autoSpaceDE w:val="0"/>
        <w:widowControl/>
        <w:spacing w:line="245" w:lineRule="auto" w:before="240" w:after="0"/>
        <w:ind w:left="1358" w:right="2448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Lanka, or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law, possesses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practice as an Accountant issued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Council of such Institute; or</w:t>
      </w:r>
    </w:p>
    <w:p>
      <w:pPr>
        <w:autoSpaceDN w:val="0"/>
        <w:tabs>
          <w:tab w:pos="2154" w:val="left"/>
          <w:tab w:pos="2602" w:val="left"/>
        </w:tabs>
        <w:autoSpaceDE w:val="0"/>
        <w:widowControl/>
        <w:spacing w:line="245" w:lineRule="auto" w:before="240" w:after="0"/>
        <w:ind w:left="1358" w:right="2448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(b)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 each of the resident partners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 being a member of the Institute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Accountants of Sri Lanka or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law, possesses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practice as an Accountant issued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Council of such Institute,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200"/>
        <w:ind w:left="222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Institute of Training and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Corporation shall be able and capable in law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acquire by purchase, gift, bequest, grant, devise,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acquire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disposition, exchange or in any other manner and to hold,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 and</w:t>
            </w:r>
          </w:p>
        </w:tc>
      </w:tr>
      <w:tr>
        <w:trPr>
          <w:trHeight w:hRule="exact" w:val="227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movable or immovable property and to dispose of any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raise money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property acquired or held by the Corporation.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shall have the power to borrow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raise money necessary for the furtherance of its objects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security and to secure the discharge of any debt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obligation of the Corporation in such manner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deemed fit.</w:t>
      </w:r>
    </w:p>
    <w:p>
      <w:pPr>
        <w:autoSpaceDN w:val="0"/>
        <w:tabs>
          <w:tab w:pos="2038" w:val="left"/>
        </w:tabs>
        <w:autoSpaceDE w:val="0"/>
        <w:widowControl/>
        <w:spacing w:line="250" w:lineRule="auto" w:before="27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Corporation may raise funds and receive </w:t>
      </w:r>
      <w:r>
        <w:rPr>
          <w:rFonts w:ascii="Times" w:hAnsi="Times" w:eastAsia="Times"/>
          <w:b w:val="0"/>
          <w:i w:val="0"/>
          <w:color w:val="221F1F"/>
          <w:sz w:val="20"/>
        </w:rPr>
        <w:t>subscriptions, grants, donations, and gifts in cash or kind.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21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All property movable and immovable, acquired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held by the Corporation and all moneys paid to or received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Corporation under this Act or rules made there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held, used and applied by the Corporation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it’s rules, for the furtherance of its objects.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seal of the Corporation shall be kept in the custody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Secretary of the Corporation and shall nor be affixed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instrument whatsoever, except in the presence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2" w:after="1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 or any officer of the Corporation authorized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behalf in accordance with the rules in force for the time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of the Corporation, who shall sign their names to the </w:t>
      </w:r>
      <w:r>
        <w:rPr>
          <w:rFonts w:ascii="Times" w:hAnsi="Times" w:eastAsia="Times"/>
          <w:b w:val="0"/>
          <w:i w:val="0"/>
          <w:color w:val="221F1F"/>
          <w:sz w:val="20"/>
        </w:rPr>
        <w:t>instrument in token of their presence, and such signing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independent of the signing of any person as a witness.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Funds of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Corporation shall have its own fund and 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heretofore or hereafter received by way of  gifts,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0" w:lineRule="auto" w:before="12" w:after="1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bequest, donations, subscriptions, contributions, fees or </w:t>
      </w:r>
      <w:r>
        <w:rPr>
          <w:rFonts w:ascii="Times" w:hAnsi="Times" w:eastAsia="Times"/>
          <w:b w:val="0"/>
          <w:i w:val="0"/>
          <w:color w:val="221F1F"/>
          <w:sz w:val="20"/>
        </w:rPr>
        <w:t>grants for and on  account of the Corporation,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deposited to the credit of the Corporation in one or more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banks as the Committee of Management of the Corporation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determine.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22" w:val="left"/>
          <w:tab w:pos="3466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Institute of Training and Development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7" w:lineRule="auto" w:before="262" w:after="21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funds all sums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to any expenditure incurred by the Body 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exercise, performance and discharge of its powers, </w:t>
      </w:r>
      <w:r>
        <w:rPr>
          <w:rFonts w:ascii="Times" w:hAnsi="Times" w:eastAsia="Times"/>
          <w:b w:val="0"/>
          <w:i w:val="0"/>
          <w:color w:val="221F1F"/>
          <w:sz w:val="20"/>
        </w:rPr>
        <w:t>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income and property of the Corporation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howsoever derived shall be applied solely, towards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income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property,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as set forth herein, and no portion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 shall be paid or transferred directly or indirectly, 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35" w:lineRule="auto" w:before="14" w:after="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way of dividend, bonus or otherwise by way of profit,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Corporation.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All debts and liabilities of the Institute existing 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day preceding  the date of commencement of this Act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and discharged by the Corporation and 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debts due to, and subscriptions and contributions payable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Institute on that day shall be paid to the Corporation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21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 member of the Corporation shall, for the purpose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Limitation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discharging the debts and liabilities of the Corporation,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liability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for any other  purpose, be liable to make any contribution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towards discharging such debts and liabilities exceeding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2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amount of such  annual subscriptions as  may be due </w:t>
      </w:r>
      <w:r>
        <w:rPr>
          <w:rFonts w:ascii="Times" w:hAnsi="Times" w:eastAsia="Times"/>
          <w:b w:val="0"/>
          <w:i w:val="0"/>
          <w:color w:val="221F1F"/>
          <w:sz w:val="20"/>
        </w:rPr>
        <w:t>from him to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If upon the dissolution of the Corporation there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debts and liabilities, any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whatsoever, such property shall not be distributed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0" w:after="1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among the members of the Corporation, but shall be given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transferred to some other institute or institutes having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objects similar to those of the Corporation, and which is or </w:t>
      </w:r>
      <w:r>
        <w:rPr>
          <w:rFonts w:ascii="Times" w:hAnsi="Times" w:eastAsia="Times"/>
          <w:b w:val="0"/>
          <w:i w:val="0"/>
          <w:color w:val="221F1F"/>
          <w:sz w:val="20"/>
        </w:rPr>
        <w:t>are by the rules thereof prohibited from distributing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income or property among its or their members. Such institute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institutions shall be determined by the members of the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at or immediately before the dissolution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22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Institute of Training and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35" w:lineRule="auto" w:before="14" w:after="194"/>
        <w:ind w:left="0" w:right="41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Nothing in this Act contained shall prejudice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affect, the rights of the Republic, or of any 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 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or of any other persons, except such as are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mentioned in this Act and those claiming by, from, or under,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them.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Institute of Training and Development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901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308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