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49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8" w:after="0"/>
        <w:ind w:left="0" w:right="249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INLAND REVENUE (AMENDMENT)</w:t>
      </w:r>
    </w:p>
    <w:p>
      <w:pPr>
        <w:autoSpaceDN w:val="0"/>
        <w:autoSpaceDE w:val="0"/>
        <w:widowControl/>
        <w:spacing w:line="238" w:lineRule="auto" w:before="408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10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3" w:lineRule="auto" w:before="488" w:after="0"/>
        <w:ind w:left="0" w:right="2562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to amend the Inland Revenue  Act, No. 24 of 2017</w:t>
      </w:r>
    </w:p>
    <w:p>
      <w:pPr>
        <w:autoSpaceDN w:val="0"/>
        <w:autoSpaceDE w:val="0"/>
        <w:widowControl/>
        <w:spacing w:line="238" w:lineRule="auto" w:before="30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66" w:after="0"/>
        <w:ind w:left="1872" w:right="2016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Finance, Economic Stabilization </w:t>
      </w:r>
      <w:r>
        <w:rPr>
          <w:rFonts w:ascii="Times" w:hAnsi="Times" w:eastAsia="Times"/>
          <w:b w:val="0"/>
          <w:i/>
          <w:color w:val="221F1F"/>
          <w:sz w:val="20"/>
        </w:rPr>
        <w:t>&amp; National Policies on 24th of March, 2023</w:t>
      </w:r>
    </w:p>
    <w:p>
      <w:pPr>
        <w:autoSpaceDN w:val="0"/>
        <w:autoSpaceDE w:val="0"/>
        <w:widowControl/>
        <w:spacing w:line="238" w:lineRule="auto" w:before="252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16, 2023)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28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170]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56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0" w:right="3256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354" w:after="0"/>
        <w:ind w:left="1436" w:right="134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10 of the Inland Revenue Act, No. 24 of 2017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 and the legal effect of that section as </w:t>
      </w:r>
      <w:r>
        <w:rPr>
          <w:rFonts w:ascii="Times" w:hAnsi="Times" w:eastAsia="Times"/>
          <w:b w:val="0"/>
          <w:i w:val="0"/>
          <w:color w:val="000000"/>
          <w:sz w:val="16"/>
        </w:rPr>
        <w:t>amended is to make provisions for the purpose of discouraging cash transactions.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208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37 of the principal enactment for the purpose of </w:t>
      </w:r>
      <w:r>
        <w:rPr>
          <w:rFonts w:ascii="Times" w:hAnsi="Times" w:eastAsia="Times"/>
          <w:b w:val="0"/>
          <w:i w:val="0"/>
          <w:color w:val="000000"/>
          <w:sz w:val="16"/>
        </w:rPr>
        <w:t>clarity.</w:t>
      </w:r>
    </w:p>
    <w:p>
      <w:pPr>
        <w:autoSpaceDN w:val="0"/>
        <w:autoSpaceDE w:val="0"/>
        <w:widowControl/>
        <w:spacing w:line="247" w:lineRule="auto" w:before="208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4: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73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include payments received from a resident company </w:t>
      </w:r>
      <w:r>
        <w:rPr>
          <w:rFonts w:ascii="Times" w:hAnsi="Times" w:eastAsia="Times"/>
          <w:b w:val="0"/>
          <w:i w:val="0"/>
          <w:color w:val="000000"/>
          <w:sz w:val="16"/>
        </w:rPr>
        <w:t>conducting the business in Sri Lanka as payments having a source in Sri Lanka.</w:t>
      </w:r>
    </w:p>
    <w:p>
      <w:pPr>
        <w:autoSpaceDN w:val="0"/>
        <w:autoSpaceDE w:val="0"/>
        <w:widowControl/>
        <w:spacing w:line="247" w:lineRule="auto" w:before="208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5: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84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make the Government of Sri Lanka obligated for </w:t>
      </w:r>
      <w:r>
        <w:rPr>
          <w:rFonts w:ascii="Times" w:hAnsi="Times" w:eastAsia="Times"/>
          <w:b w:val="0"/>
          <w:i w:val="0"/>
          <w:color w:val="000000"/>
          <w:sz w:val="16"/>
        </w:rPr>
        <w:t>withholding the tax on payments made to a non-resident person.</w:t>
      </w:r>
    </w:p>
    <w:p>
      <w:pPr>
        <w:autoSpaceDN w:val="0"/>
        <w:autoSpaceDE w:val="0"/>
        <w:widowControl/>
        <w:spacing w:line="247" w:lineRule="auto" w:before="204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6: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85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make the Government of Sri Lanka obligated for withholding </w:t>
      </w:r>
      <w:r>
        <w:rPr>
          <w:rFonts w:ascii="Times" w:hAnsi="Times" w:eastAsia="Times"/>
          <w:b w:val="0"/>
          <w:i w:val="0"/>
          <w:color w:val="000000"/>
          <w:sz w:val="16"/>
        </w:rPr>
        <w:t>the tax on payments made to a non-resident person.</w:t>
      </w:r>
    </w:p>
    <w:p>
      <w:pPr>
        <w:autoSpaceDN w:val="0"/>
        <w:autoSpaceDE w:val="0"/>
        <w:widowControl/>
        <w:spacing w:line="247" w:lineRule="auto" w:before="208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7: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86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make provisions for the Commissioner-General to specify </w:t>
      </w:r>
      <w:r>
        <w:rPr>
          <w:rFonts w:ascii="Times" w:hAnsi="Times" w:eastAsia="Times"/>
          <w:b w:val="0"/>
          <w:i w:val="0"/>
          <w:color w:val="000000"/>
          <w:sz w:val="16"/>
        </w:rPr>
        <w:t>the procedure of withholding the tax from any payment made to a non-resident person.</w:t>
      </w:r>
    </w:p>
    <w:p>
      <w:pPr>
        <w:autoSpaceDN w:val="0"/>
        <w:autoSpaceDE w:val="0"/>
        <w:widowControl/>
        <w:spacing w:line="247" w:lineRule="auto" w:before="208" w:after="0"/>
        <w:ind w:left="1436" w:right="1338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8: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113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make the filing of tax returns by a person electronically, </w:t>
      </w:r>
      <w:r>
        <w:rPr>
          <w:rFonts w:ascii="Times" w:hAnsi="Times" w:eastAsia="Times"/>
          <w:b w:val="0"/>
          <w:i w:val="0"/>
          <w:color w:val="000000"/>
          <w:sz w:val="16"/>
        </w:rPr>
        <w:t>compulsory.</w:t>
      </w:r>
    </w:p>
    <w:p>
      <w:pPr>
        <w:autoSpaceDN w:val="0"/>
        <w:autoSpaceDE w:val="0"/>
        <w:widowControl/>
        <w:spacing w:line="247" w:lineRule="auto" w:before="204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9: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123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make provisions requiring third parties to provide </w:t>
      </w:r>
      <w:r>
        <w:rPr>
          <w:rFonts w:ascii="Times" w:hAnsi="Times" w:eastAsia="Times"/>
          <w:b w:val="0"/>
          <w:i w:val="0"/>
          <w:color w:val="000000"/>
          <w:sz w:val="16"/>
        </w:rPr>
        <w:t>prescribed information in electronic format.</w:t>
      </w:r>
    </w:p>
    <w:p>
      <w:pPr>
        <w:autoSpaceDN w:val="0"/>
        <w:autoSpaceDE w:val="0"/>
        <w:widowControl/>
        <w:spacing w:line="247" w:lineRule="auto" w:before="208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10: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135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provide for a period of time within which the </w:t>
      </w:r>
      <w:r>
        <w:rPr>
          <w:rFonts w:ascii="Times" w:hAnsi="Times" w:eastAsia="Times"/>
          <w:b w:val="0"/>
          <w:i w:val="0"/>
          <w:color w:val="000000"/>
          <w:sz w:val="16"/>
        </w:rPr>
        <w:t>Assistant Commissioner may amend an assessment.</w:t>
      </w:r>
    </w:p>
    <w:p>
      <w:pPr>
        <w:autoSpaceDN w:val="0"/>
        <w:autoSpaceDE w:val="0"/>
        <w:widowControl/>
        <w:spacing w:line="247" w:lineRule="auto" w:before="208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11: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139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provide a time limit for the Commissioner-General </w:t>
      </w:r>
      <w:r>
        <w:rPr>
          <w:rFonts w:ascii="Times" w:hAnsi="Times" w:eastAsia="Times"/>
          <w:b w:val="0"/>
          <w:i w:val="0"/>
          <w:color w:val="000000"/>
          <w:sz w:val="16"/>
        </w:rPr>
        <w:t>to notify his decision on an administrative review.</w:t>
      </w:r>
    </w:p>
    <w:p>
      <w:pPr>
        <w:autoSpaceDN w:val="0"/>
        <w:autoSpaceDE w:val="0"/>
        <w:widowControl/>
        <w:spacing w:line="247" w:lineRule="auto" w:before="204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12: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150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make provisions to setoff sixty percent of the </w:t>
      </w:r>
      <w:r>
        <w:rPr>
          <w:rFonts w:ascii="Times" w:hAnsi="Times" w:eastAsia="Times"/>
          <w:b w:val="0"/>
          <w:i w:val="0"/>
          <w:color w:val="000000"/>
          <w:sz w:val="16"/>
        </w:rPr>
        <w:t>refundable amount of tax prior to a tax audit.</w:t>
      </w:r>
    </w:p>
    <w:p>
      <w:pPr>
        <w:autoSpaceDN w:val="0"/>
        <w:autoSpaceDE w:val="0"/>
        <w:widowControl/>
        <w:spacing w:line="238" w:lineRule="auto" w:before="208" w:after="0"/>
        <w:ind w:left="167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Clause 13: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rectifies an error in section 154 of the principal enactment.</w:t>
      </w:r>
    </w:p>
    <w:p>
      <w:pPr>
        <w:autoSpaceDN w:val="0"/>
        <w:autoSpaceDE w:val="0"/>
        <w:widowControl/>
        <w:spacing w:line="250" w:lineRule="auto" w:before="204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14: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182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make withholding agents and financial institutions </w:t>
      </w:r>
      <w:r>
        <w:rPr>
          <w:rFonts w:ascii="Times" w:hAnsi="Times" w:eastAsia="Times"/>
          <w:b w:val="0"/>
          <w:i w:val="0"/>
          <w:color w:val="000000"/>
          <w:sz w:val="16"/>
        </w:rPr>
        <w:t>liable to a penalty for failure to comply with the procedures specified by the Commissioner-</w:t>
      </w:r>
      <w:r>
        <w:rPr>
          <w:rFonts w:ascii="Times" w:hAnsi="Times" w:eastAsia="Times"/>
          <w:b w:val="0"/>
          <w:i w:val="0"/>
          <w:color w:val="000000"/>
          <w:sz w:val="16"/>
        </w:rPr>
        <w:t>General.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344" w:right="1296" w:firstLine="24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Clause 15: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the First Schedule of the principal enactment and the </w:t>
      </w:r>
      <w:r>
        <w:rPr>
          <w:rFonts w:ascii="Times" w:hAnsi="Times" w:eastAsia="Times"/>
          <w:b w:val="0"/>
          <w:i w:val="0"/>
          <w:color w:val="000000"/>
          <w:sz w:val="16"/>
        </w:rPr>
        <w:t>legal effect of that Schedule as amended is to specify a rate of tax for specified dividends.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16: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the Third Schedule of the principal enactment and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effect of that Schedule as amended is to exempt gains and profits derived from </w:t>
      </w:r>
      <w:r>
        <w:rPr>
          <w:rFonts w:ascii="Times" w:hAnsi="Times" w:eastAsia="Times"/>
          <w:b w:val="0"/>
          <w:i w:val="0"/>
          <w:color w:val="000000"/>
          <w:sz w:val="16"/>
        </w:rPr>
        <w:t>certain projects and businesses by non-resident persons and authorized persons.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17: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makes provisions to grant relief from penalty or interest for </w:t>
      </w:r>
      <w:r>
        <w:rPr>
          <w:rFonts w:ascii="Times" w:hAnsi="Times" w:eastAsia="Times"/>
          <w:b w:val="0"/>
          <w:i w:val="0"/>
          <w:color w:val="000000"/>
          <w:sz w:val="16"/>
        </w:rPr>
        <w:t>certain companies.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18: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replaces the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Table ‘A’, Table ‘B’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6"/>
        </w:rPr>
        <w:t>Table ‘C’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Inland </w:t>
      </w:r>
      <w:r>
        <w:rPr>
          <w:rFonts w:ascii="Times" w:hAnsi="Times" w:eastAsia="Times"/>
          <w:b w:val="0"/>
          <w:i w:val="0"/>
          <w:color w:val="000000"/>
          <w:sz w:val="16"/>
        </w:rPr>
        <w:t>Revenue (Amendment) Act, No. 45 of 2022.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328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L.D.-O. 10/2023</w:t>
      </w:r>
    </w:p>
    <w:p>
      <w:pPr>
        <w:autoSpaceDN w:val="0"/>
        <w:autoSpaceDE w:val="0"/>
        <w:widowControl/>
        <w:spacing w:line="235" w:lineRule="auto" w:before="222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NLAND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EVENUE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2017</w:t>
      </w:r>
    </w:p>
    <w:p>
      <w:pPr>
        <w:autoSpaceDN w:val="0"/>
        <w:autoSpaceDE w:val="0"/>
        <w:widowControl/>
        <w:spacing w:line="250" w:lineRule="auto" w:before="274" w:after="16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Inland Revenue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 of  2023.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the date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operation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this section and sections 4, 7, 9, 11,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13, 14 and 19 of this Act shall come into operation on the </w:t>
      </w:r>
      <w:r>
        <w:rPr>
          <w:rFonts w:ascii="Times" w:hAnsi="Times" w:eastAsia="Times"/>
          <w:b w:val="0"/>
          <w:i w:val="0"/>
          <w:color w:val="000000"/>
          <w:sz w:val="20"/>
        </w:rPr>
        <w:t>date on which the Bill becomes an Act of Parliament.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57" w:lineRule="auto" w:before="224" w:after="12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this Act specified in </w:t>
      </w:r>
      <w:r>
        <w:rPr>
          <w:rFonts w:ascii="Times" w:hAnsi="Times" w:eastAsia="Times"/>
          <w:b w:val="0"/>
          <w:i/>
          <w:color w:val="000000"/>
          <w:sz w:val="20"/>
        </w:rPr>
        <w:t>Column 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table below which amend the provisions of the Inland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Revenue Act, No. 24 of 2017 (hereinafter referred to as the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“principal enactment”) specified in </w:t>
      </w:r>
      <w:r>
        <w:rPr>
          <w:rFonts w:ascii="Times" w:hAnsi="Times" w:eastAsia="Times"/>
          <w:b w:val="0"/>
          <w:i/>
          <w:color w:val="000000"/>
          <w:sz w:val="20"/>
        </w:rPr>
        <w:t>Column II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that table,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come into operation or be deemed to have come 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operation, as the case may be, on the respective dates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</w:t>
      </w:r>
      <w:r>
        <w:rPr>
          <w:rFonts w:ascii="Times" w:hAnsi="Times" w:eastAsia="Times"/>
          <w:b w:val="0"/>
          <w:i/>
          <w:color w:val="000000"/>
          <w:sz w:val="20"/>
        </w:rPr>
        <w:t>Column III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that table.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1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5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6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94"/>
              <w:ind w:left="0" w:right="36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Table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1.99999999999989" w:type="dxa"/>
            </w:tblPr>
            <w:tblGrid>
              <w:gridCol w:w="2027"/>
              <w:gridCol w:w="2027"/>
              <w:gridCol w:w="2027"/>
            </w:tblGrid>
            <w:tr>
              <w:trPr>
                <w:trHeight w:hRule="exact" w:val="380"/>
              </w:trPr>
              <w:tc>
                <w:tcPr>
                  <w:tcW w:type="dxa" w:w="12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8" w:after="0"/>
                    <w:ind w:left="26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8" w:after="0"/>
                    <w:ind w:left="0" w:right="97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8" w:after="0"/>
                    <w:ind w:left="15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III</w:t>
                  </w:r>
                </w:p>
              </w:tc>
            </w:tr>
            <w:tr>
              <w:trPr>
                <w:trHeight w:hRule="exact" w:val="640"/>
              </w:trPr>
              <w:tc>
                <w:tcPr>
                  <w:tcW w:type="dxa" w:w="12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26" w:val="left"/>
                    </w:tabs>
                    <w:autoSpaceDE w:val="0"/>
                    <w:widowControl/>
                    <w:spacing w:line="245" w:lineRule="auto" w:before="112" w:after="0"/>
                    <w:ind w:left="150" w:right="288" w:firstLine="0"/>
                    <w:jc w:val="left"/>
                  </w:pP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Section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 of this Act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Section of the principal enactment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 which is amended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2" w:after="0"/>
                    <w:ind w:left="144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Date of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operation</w:t>
                  </w:r>
                </w:p>
              </w:tc>
            </w:tr>
            <w:tr>
              <w:trPr>
                <w:trHeight w:hRule="exact" w:val="458"/>
              </w:trPr>
              <w:tc>
                <w:tcPr>
                  <w:tcW w:type="dxa" w:w="12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70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70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10(2A)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7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01.04.2023</w:t>
                  </w:r>
                </w:p>
              </w:tc>
            </w:tr>
            <w:tr>
              <w:trPr>
                <w:trHeight w:hRule="exact" w:val="382"/>
              </w:trPr>
              <w:tc>
                <w:tcPr>
                  <w:tcW w:type="dxa" w:w="12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8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8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37(1)(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01.04.2021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12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2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5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2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84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(1B)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01.01.2023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12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8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6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8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85(4)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01.01.2023</w:t>
                  </w:r>
                </w:p>
              </w:tc>
            </w:tr>
            <w:tr>
              <w:trPr>
                <w:trHeight w:hRule="exact" w:val="738"/>
              </w:trPr>
              <w:tc>
                <w:tcPr>
                  <w:tcW w:type="dxa" w:w="12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94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8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2" w:lineRule="auto" w:before="94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113(1)(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), 113(1)(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bb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), 113(1A),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113(1B) and 113(1C)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01.04.2023</w:t>
                  </w:r>
                </w:p>
              </w:tc>
            </w:tr>
            <w:tr>
              <w:trPr>
                <w:trHeight w:hRule="exact" w:val="400"/>
              </w:trPr>
              <w:tc>
                <w:tcPr>
                  <w:tcW w:type="dxa" w:w="12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8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10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8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135(3), 135(3A) and 135(4)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7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4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.00000000000011" w:type="dxa"/>
            </w:tblPr>
            <w:tblGrid>
              <w:gridCol w:w="1667"/>
              <w:gridCol w:w="1667"/>
              <w:gridCol w:w="1667"/>
            </w:tblGrid>
            <w:tr>
              <w:trPr>
                <w:trHeight w:hRule="exact" w:val="322"/>
              </w:trPr>
              <w:tc>
                <w:tcPr>
                  <w:tcW w:type="dxa" w:w="13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26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25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0" w:right="98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III</w:t>
                  </w:r>
                </w:p>
              </w:tc>
            </w:tr>
            <w:tr>
              <w:trPr>
                <w:trHeight w:hRule="exact" w:val="600"/>
              </w:trPr>
              <w:tc>
                <w:tcPr>
                  <w:tcW w:type="dxa" w:w="13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30" w:val="left"/>
                    </w:tabs>
                    <w:autoSpaceDE w:val="0"/>
                    <w:widowControl/>
                    <w:spacing w:line="245" w:lineRule="auto" w:before="56" w:after="0"/>
                    <w:ind w:left="150" w:right="288" w:firstLine="0"/>
                    <w:jc w:val="left"/>
                  </w:pP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Section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 of this Act</w:t>
                  </w:r>
                </w:p>
              </w:tc>
              <w:tc>
                <w:tcPr>
                  <w:tcW w:type="dxa" w:w="25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Section of the principal enactment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 which is amended</w:t>
                  </w:r>
                </w:p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90" w:val="left"/>
                    </w:tabs>
                    <w:autoSpaceDE w:val="0"/>
                    <w:widowControl/>
                    <w:spacing w:line="245" w:lineRule="auto" w:before="56" w:after="0"/>
                    <w:ind w:left="262" w:right="0" w:firstLine="0"/>
                    <w:jc w:val="left"/>
                  </w:pP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Date of 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operation</w:t>
                  </w:r>
                </w:p>
              </w:tc>
            </w:tr>
            <w:tr>
              <w:trPr>
                <w:trHeight w:hRule="exact" w:val="578"/>
              </w:trPr>
              <w:tc>
                <w:tcPr>
                  <w:tcW w:type="dxa" w:w="13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2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12</w:t>
                  </w:r>
                </w:p>
              </w:tc>
              <w:tc>
                <w:tcPr>
                  <w:tcW w:type="dxa" w:w="25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32" w:after="0"/>
                    <w:ind w:left="52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150(1)(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a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), 150(1)(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), 150(1)(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and 150(2A)</w:t>
                  </w:r>
                </w:p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0" w:after="0"/>
                    <w:ind w:left="7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01.04.2023</w:t>
                  </w:r>
                </w:p>
              </w:tc>
            </w:tr>
            <w:tr>
              <w:trPr>
                <w:trHeight w:hRule="exact" w:val="940"/>
              </w:trPr>
              <w:tc>
                <w:tcPr>
                  <w:tcW w:type="dxa" w:w="13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8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15</w:t>
                  </w:r>
                </w:p>
              </w:tc>
              <w:tc>
                <w:tcPr>
                  <w:tcW w:type="dxa" w:w="25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78" w:after="0"/>
                    <w:ind w:left="5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subparagraph (1) of paragraph 4,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item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d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)(iii) of subparagraph (1)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of paragraph 10 and paragraph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13 of the First Schedule</w:t>
                  </w:r>
                </w:p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2" w:after="0"/>
                    <w:ind w:left="7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01.10.2022</w:t>
                  </w:r>
                </w:p>
              </w:tc>
            </w:tr>
            <w:tr>
              <w:trPr>
                <w:trHeight w:hRule="exact" w:val="780"/>
              </w:trPr>
              <w:tc>
                <w:tcPr>
                  <w:tcW w:type="dxa" w:w="13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98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16</w:t>
                  </w:r>
                </w:p>
              </w:tc>
              <w:tc>
                <w:tcPr>
                  <w:tcW w:type="dxa" w:w="25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98" w:after="0"/>
                    <w:ind w:left="52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subparagraphs (ii) and (iii)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paragraph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ooo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 of the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Third Schedule</w:t>
                  </w:r>
                </w:p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22" w:after="0"/>
                    <w:ind w:left="7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01.10.2022</w:t>
                  </w:r>
                </w:p>
              </w:tc>
            </w:tr>
            <w:tr>
              <w:trPr>
                <w:trHeight w:hRule="exact" w:val="780"/>
              </w:trPr>
              <w:tc>
                <w:tcPr>
                  <w:tcW w:type="dxa" w:w="13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6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16</w:t>
                  </w:r>
                </w:p>
              </w:tc>
              <w:tc>
                <w:tcPr>
                  <w:tcW w:type="dxa" w:w="25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86" w:after="0"/>
                    <w:ind w:left="5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paragraph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tt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 and subparagraphs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(ii), (v) and (vi) of paragraph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w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the Third Schedule</w:t>
                  </w:r>
                </w:p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2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01.04.2023</w:t>
                  </w:r>
                </w:p>
              </w:tc>
            </w:tr>
            <w:tr>
              <w:trPr>
                <w:trHeight w:hRule="exact" w:val="578"/>
              </w:trPr>
              <w:tc>
                <w:tcPr>
                  <w:tcW w:type="dxa" w:w="13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4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16</w:t>
                  </w:r>
                </w:p>
              </w:tc>
              <w:tc>
                <w:tcPr>
                  <w:tcW w:type="dxa" w:w="25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4" w:after="0"/>
                    <w:ind w:left="52" w:right="100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paragraph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x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Third Schedule</w:t>
                  </w:r>
                </w:p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2" w:after="0"/>
                    <w:ind w:left="7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27.05.2021</w:t>
                  </w:r>
                </w:p>
              </w:tc>
            </w:tr>
            <w:tr>
              <w:trPr>
                <w:trHeight w:hRule="exact" w:val="442"/>
              </w:trPr>
              <w:tc>
                <w:tcPr>
                  <w:tcW w:type="dxa" w:w="130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2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17</w:t>
                  </w:r>
                </w:p>
              </w:tc>
              <w:tc>
                <w:tcPr>
                  <w:tcW w:type="dxa" w:w="254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2" w:after="0"/>
                    <w:ind w:left="5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–</w:t>
                  </w:r>
                </w:p>
              </w:tc>
              <w:tc>
                <w:tcPr>
                  <w:tcW w:type="dxa" w:w="10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72" w:after="0"/>
                    <w:ind w:left="6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01.10.2022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10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insertion immediately after subsection (2)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10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“(2A)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Where a person pays to another person,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0" w:after="2"/>
        <w:ind w:left="22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on or after April 1, 2023, a sum of money amounting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3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aggregate to Rs. 500,000 or more, in a day, or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a single transaction, or in respect of a series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2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single transactions relating to one event, otherwise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by way of an account payee cheque or account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payee bank draft or by the use of a credit card, debit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card or electronic payment system through a 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account, -</w:t>
            </w:r>
          </w:p>
        </w:tc>
        <w:tc>
          <w:tcPr>
            <w:tcW w:type="dxa" w:w="4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deduction shall not be allowed in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302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such payments in calculating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first mentioned person’s income; 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238" w:val="left"/>
        </w:tabs>
        <w:autoSpaceDE w:val="0"/>
        <w:widowControl/>
        <w:spacing w:line="269" w:lineRule="auto" w:before="556" w:after="0"/>
        <w:ind w:left="28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amounts paid shall not be considered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cost of an asset of the first mentioned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person.</w:t>
      </w:r>
    </w:p>
    <w:p>
      <w:pPr>
        <w:autoSpaceDN w:val="0"/>
        <w:autoSpaceDE w:val="0"/>
        <w:widowControl/>
        <w:spacing w:line="238" w:lineRule="auto" w:before="248" w:after="24"/>
        <w:ind w:left="0" w:right="2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provisions of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shall not apply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74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to-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payment by the Government of Sri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0" w:right="2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Lanka or any Government institution;</w:t>
      </w:r>
    </w:p>
    <w:p>
      <w:pPr>
        <w:autoSpaceDN w:val="0"/>
        <w:tabs>
          <w:tab w:pos="3238" w:val="left"/>
        </w:tabs>
        <w:autoSpaceDE w:val="0"/>
        <w:widowControl/>
        <w:spacing w:line="262" w:lineRule="auto" w:before="246" w:after="178"/>
        <w:ind w:left="28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payment by a bank or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classes of persons or payments as may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3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 prescribed by the Minister.</w:t>
      </w:r>
    </w:p>
    <w:p>
      <w:pPr>
        <w:autoSpaceDN w:val="0"/>
        <w:tabs>
          <w:tab w:pos="2878" w:val="left"/>
        </w:tabs>
        <w:autoSpaceDE w:val="0"/>
        <w:widowControl/>
        <w:spacing w:line="238" w:lineRule="auto" w:before="248" w:after="0"/>
        <w:ind w:left="250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this subsection-</w:t>
      </w:r>
    </w:p>
    <w:p>
      <w:pPr>
        <w:autoSpaceDN w:val="0"/>
        <w:tabs>
          <w:tab w:pos="2818" w:val="left"/>
          <w:tab w:pos="3298" w:val="left"/>
        </w:tabs>
        <w:autoSpaceDE w:val="0"/>
        <w:widowControl/>
        <w:spacing w:line="269" w:lineRule="auto" w:before="246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“bank account” means any account maintained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 bank or financial institution in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p>
      <w:pPr>
        <w:autoSpaceDN w:val="0"/>
        <w:autoSpaceDE w:val="0"/>
        <w:widowControl/>
        <w:spacing w:line="274" w:lineRule="auto" w:before="248" w:after="0"/>
        <w:ind w:left="329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“Government institution” means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or undertaking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Sri Lanka and includes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public corporation; and</w:t>
      </w:r>
    </w:p>
    <w:p>
      <w:pPr>
        <w:autoSpaceDN w:val="0"/>
        <w:tabs>
          <w:tab w:pos="2818" w:val="left"/>
          <w:tab w:pos="3298" w:val="left"/>
        </w:tabs>
        <w:autoSpaceDE w:val="0"/>
        <w:widowControl/>
        <w:spacing w:line="278" w:lineRule="auto" w:before="220" w:after="188"/>
        <w:ind w:left="14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“single transaction” means the purchase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procurement of any goods or services,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single invoice, receipt or statement.”.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37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37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“the asset;”, of the words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figures “the asset prior to April 1, 2021 and in improving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asset on or after April 1, 2021;”.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7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73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sub-paragraph (i) of that paragraph, by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“paid; or”, of the word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59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“paid;”;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18" w:after="13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sub-paragraph (ii) of that paragraph,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“employment is;”,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words “employment is; or”;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sub-paragraph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(ii) of that paragraph, of the following new sub-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47" w:lineRule="auto" w:before="220" w:after="10"/>
        <w:ind w:left="257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extent derived from a company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resident and conducting the business</w:t>
      </w:r>
      <w:r>
        <w:rPr>
          <w:rFonts w:ascii="Times" w:hAnsi="Times" w:eastAsia="Times"/>
          <w:b w:val="0"/>
          <w:i w:val="0"/>
          <w:color w:val="000000"/>
          <w:sz w:val="20"/>
        </w:rPr>
        <w:t>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Lanka;”.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84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insertion immediately after subsection (1A)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tabs>
          <w:tab w:pos="2164" w:val="left"/>
          <w:tab w:pos="2404" w:val="left"/>
          <w:tab w:pos="6622" w:val="left"/>
        </w:tabs>
        <w:autoSpaceDE w:val="0"/>
        <w:widowControl/>
        <w:spacing w:line="254" w:lineRule="auto" w:before="6" w:after="206"/>
        <w:ind w:left="137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“(1B) For the purpose of subsection (1A), “a person”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the Government of Sri Lanka, in the case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made to a non-resident person other than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derived through a Sri Lankan permanent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85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addition immediately after subsection (3)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85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tabs>
          <w:tab w:pos="2424" w:val="left"/>
          <w:tab w:pos="6622" w:val="left"/>
        </w:tabs>
        <w:autoSpaceDE w:val="0"/>
        <w:widowControl/>
        <w:spacing w:line="252" w:lineRule="auto" w:before="6" w:after="8"/>
        <w:ind w:left="214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“(4) For the purpose of this section, “a person”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the Government of Sri Lanka, in the case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payment made to a non-resident person other than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3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payment derived through a Sri Lankan permanent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establishment.”.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2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addition immediately after subsection (6)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86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“(7) The Commissioner-General may specify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of withholding the tax from any payment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48"/>
        <w:ind w:left="223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made to a non-resident person under this Division.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withholding agent and financial institution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comply with such procedure.”.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113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 of 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3238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and figures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“Subject to subsection (1A),”, of the words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figures “Subject to subsection (1A),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prior to April 1, 2023,”;</w:t>
      </w:r>
    </w:p>
    <w:p>
      <w:pPr>
        <w:autoSpaceDN w:val="0"/>
        <w:tabs>
          <w:tab w:pos="3238" w:val="left"/>
        </w:tabs>
        <w:autoSpaceDE w:val="0"/>
        <w:widowControl/>
        <w:spacing w:line="245" w:lineRule="auto" w:before="210" w:after="142"/>
        <w:ind w:left="28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paragraph: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filing of any other document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6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 this Act;”;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06" w:after="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(1A) of that 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“A company”,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words and figures “Prior to the year of assessment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from April 1, 2023, a company”; and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(1A)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that section, of the following new subsections: -</w:t>
      </w:r>
    </w:p>
    <w:p>
      <w:pPr>
        <w:autoSpaceDN w:val="0"/>
        <w:tabs>
          <w:tab w:pos="2738" w:val="left"/>
          <w:tab w:pos="3016" w:val="left"/>
        </w:tabs>
        <w:autoSpaceDE w:val="0"/>
        <w:widowControl/>
        <w:spacing w:line="245" w:lineRule="auto" w:before="2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“(1B) Subject to subsection (1C), with 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year of assessment commencing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1, 2023, a person shall file such person’s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 returns electronically through the use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computer system or mobile electronic device.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7" w:lineRule="auto" w:before="494" w:after="8"/>
        <w:ind w:left="2644" w:right="2516" w:firstLine="27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(1C) The Commissioner-General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 a person to file a tax return in writing,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year of assessment, where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 considers that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authorisation is just and equitable in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circumstances of the case.”.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123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addition immediately after subsection (7)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123 of the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5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“(8) Notwithstanding anything to the contrary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2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any other written law –</w:t>
      </w:r>
    </w:p>
    <w:p>
      <w:pPr>
        <w:autoSpaceDN w:val="0"/>
        <w:tabs>
          <w:tab w:pos="3142" w:val="left"/>
        </w:tabs>
        <w:autoSpaceDE w:val="0"/>
        <w:widowControl/>
        <w:spacing w:line="245" w:lineRule="auto" w:before="216" w:after="152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Registrar-General of the Registrar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General’s Department;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5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Registrar-General of Companies;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Commissioner-General of Motor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Traffic;</w:t>
      </w:r>
    </w:p>
    <w:p>
      <w:pPr>
        <w:autoSpaceDN w:val="0"/>
        <w:tabs>
          <w:tab w:pos="3142" w:val="left"/>
        </w:tabs>
        <w:autoSpaceDE w:val="0"/>
        <w:widowControl/>
        <w:spacing w:line="245" w:lineRule="auto" w:before="216" w:after="6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officer of any other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in charge of granting contracts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supply of goods, works,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consulting and non-consulting services;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financial institution;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stock exchange; or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person or a Government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45" w:lineRule="auto" w:before="8" w:after="0"/>
        <w:ind w:left="136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as may be prescribed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regulations,</w:t>
      </w:r>
    </w:p>
    <w:p>
      <w:pPr>
        <w:autoSpaceDN w:val="0"/>
        <w:tabs>
          <w:tab w:pos="2142" w:val="left"/>
        </w:tabs>
        <w:autoSpaceDE w:val="0"/>
        <w:widowControl/>
        <w:spacing w:line="247" w:lineRule="auto" w:before="212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provide on a regular basis in electronic format,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information including information on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transactions, or access to such records that are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person’s or institution’s custody,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prescribed, to the Commissioner-General.”.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9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5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135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 of 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“where the Assistant Commissioner”,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and figures “for any year of assessment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prior to April 1, 2023, where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Assistant Commissioner”;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10" w:after="15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(3)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76" w:right="1152" w:firstLine="26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“(3A) Subject to subsection (4), where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Assistant Commissioner has served a notice of an</w:t>
            </w:r>
          </w:p>
        </w:tc>
      </w:tr>
    </w:tbl>
    <w:p>
      <w:pPr>
        <w:autoSpaceDN w:val="0"/>
        <w:tabs>
          <w:tab w:pos="2596" w:val="left"/>
        </w:tabs>
        <w:autoSpaceDE w:val="0"/>
        <w:widowControl/>
        <w:spacing w:line="247" w:lineRule="auto" w:before="6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amended assessment on a tax payer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Assistant Commissioner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amend the original assessment to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amended assessment relates, within-</w:t>
      </w:r>
    </w:p>
    <w:p>
      <w:pPr>
        <w:autoSpaceDN w:val="0"/>
        <w:tabs>
          <w:tab w:pos="3238" w:val="left"/>
        </w:tabs>
        <w:autoSpaceDE w:val="0"/>
        <w:widowControl/>
        <w:spacing w:line="245" w:lineRule="auto" w:before="204" w:after="0"/>
        <w:ind w:left="28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period specified in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(2); or</w:t>
      </w:r>
    </w:p>
    <w:p>
      <w:pPr>
        <w:autoSpaceDN w:val="0"/>
        <w:tabs>
          <w:tab w:pos="2832" w:val="left"/>
          <w:tab w:pos="3238" w:val="left"/>
        </w:tabs>
        <w:autoSpaceDE w:val="0"/>
        <w:widowControl/>
        <w:spacing w:line="252" w:lineRule="auto" w:before="212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period of one year after the Assistant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 served the notice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amended assessment on the tax payer,</w:t>
      </w:r>
    </w:p>
    <w:p>
      <w:pPr>
        <w:autoSpaceDN w:val="0"/>
        <w:autoSpaceDE w:val="0"/>
        <w:widowControl/>
        <w:spacing w:line="238" w:lineRule="auto" w:before="192" w:after="0"/>
        <w:ind w:left="0" w:right="40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whichever occurs later.”; and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10" w:after="15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(4)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 and figure “subsection (3)”, of the word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figures “subsection (3A)”.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139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(5) of that section 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“in writing”, of the words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50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“in writing or by electronics means”;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subsection, of the following new paragraph: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1410" w:val="left"/>
          <w:tab w:pos="2764" w:val="left"/>
          <w:tab w:pos="3022" w:val="left"/>
        </w:tabs>
        <w:autoSpaceDE w:val="0"/>
        <w:widowControl/>
        <w:spacing w:line="254" w:lineRule="auto" w:before="536" w:after="15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Commissioner-General shall,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of a request for review made on or after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commencement of this (Amendment)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notify his decision and the reason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decision under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within a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two years from the date on which such 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review is received by the Commissioner-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General. Where such decision is not notified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such period, the request for review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deemed to have been allowed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has been preferred to the Tax Appeals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in accordance with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subsection (2) of section 140.”.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150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150 of 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3144" w:val="left"/>
        </w:tabs>
        <w:autoSpaceDE w:val="0"/>
        <w:widowControl/>
        <w:spacing w:line="250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“assessed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liability to pay tax,”, of the words </w:t>
      </w: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“assessed liability or payable amount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tax,”;</w:t>
      </w:r>
    </w:p>
    <w:p>
      <w:pPr>
        <w:autoSpaceDN w:val="0"/>
        <w:tabs>
          <w:tab w:pos="3144" w:val="left"/>
        </w:tabs>
        <w:autoSpaceDE w:val="0"/>
        <w:widowControl/>
        <w:spacing w:line="247" w:lineRule="auto" w:before="218" w:after="156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“six months.”,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words “six months; or”;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31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paragraph: -</w:t>
      </w:r>
    </w:p>
    <w:p>
      <w:pPr>
        <w:autoSpaceDN w:val="0"/>
        <w:autoSpaceDE w:val="0"/>
        <w:widowControl/>
        <w:spacing w:line="245" w:lineRule="auto" w:before="216" w:after="10"/>
        <w:ind w:left="3702" w:right="2448" w:hanging="37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at the request of the taxpayer, set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 sixty percent of the refundable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0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10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amount against the subsequent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income tax payable by the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3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taxpayer, prior to a tax audit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refund claim.”;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9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(2)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tabs>
          <w:tab w:pos="2618" w:val="left"/>
          <w:tab w:pos="2858" w:val="left"/>
        </w:tabs>
        <w:autoSpaceDE w:val="0"/>
        <w:widowControl/>
        <w:spacing w:line="250" w:lineRule="auto" w:before="212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“(2A)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the taxpayer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is a resident individual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refund claim is not exceeding one 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rupees, the Commissioner-General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 the refund amount due, within three 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date of the refund claim made by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resident individual, prior to a tax audit.</w:t>
      </w:r>
    </w:p>
    <w:p>
      <w:pPr>
        <w:autoSpaceDN w:val="0"/>
        <w:tabs>
          <w:tab w:pos="2618" w:val="left"/>
          <w:tab w:pos="2858" w:val="left"/>
        </w:tabs>
        <w:autoSpaceDE w:val="0"/>
        <w:widowControl/>
        <w:spacing w:line="247" w:lineRule="auto" w:before="212" w:after="15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manner and the procedure relating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payment of the refund amount due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may be specified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154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 of that section,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154 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“collected pursuant.”,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“collected pursuant to a levy of execution or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way of garnishment in accordance with the provisions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5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182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addition immediately after subsection (4)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182 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0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“(5) A financial institution that fails to comply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7" w:lineRule="auto" w:before="8" w:after="156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the procedure specified by the Commissioner-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in terms of subsection (7) of section 86,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liable for a penalty of an amount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exceeding fifty thousand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First Schedule to the principal enactment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(1) of paragraph 4 of that Schedule,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and figures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“subparagraphs (2), (2A) and (3),”, of the words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figures “subparagraphs (2), (2A), (2B) and (3),”;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5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)(iii) of subparagraph (1) of paragraph 10</w:t>
            </w:r>
          </w:p>
        </w:tc>
      </w:tr>
    </w:tbl>
    <w:p>
      <w:pPr>
        <w:autoSpaceDN w:val="0"/>
        <w:autoSpaceDE w:val="0"/>
        <w:widowControl/>
        <w:spacing w:line="290" w:lineRule="auto" w:before="38" w:after="2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of that Schedule, by the substitution for the words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“exceeds or is equal to”, of the word “exceeds,”;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paragraph 12 of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2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Schedule, of the following new paragraph: -</w:t>
      </w:r>
    </w:p>
    <w:p>
      <w:pPr>
        <w:autoSpaceDN w:val="0"/>
        <w:autoSpaceDE w:val="0"/>
        <w:widowControl/>
        <w:spacing w:line="235" w:lineRule="auto" w:before="278" w:after="0"/>
        <w:ind w:left="0" w:right="3912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“13. Tax rate for dividends</w:t>
      </w:r>
    </w:p>
    <w:p>
      <w:pPr>
        <w:autoSpaceDN w:val="0"/>
        <w:tabs>
          <w:tab w:pos="2722" w:val="left"/>
          <w:tab w:pos="2962" w:val="left"/>
        </w:tabs>
        <w:autoSpaceDE w:val="0"/>
        <w:widowControl/>
        <w:spacing w:line="305" w:lineRule="auto" w:before="278" w:after="19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the provisions in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paragraphs of this Schedule, where a person’s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taxable income includes gains and profits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dividends for the second six months of the year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commencing on April 1, 2022,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gains and profits shall be taxed at the 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15%.”.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Third Schedule to the principal enactment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ooo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Schedule –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8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438" w:val="left"/>
          <w:tab w:pos="2782" w:val="left"/>
        </w:tabs>
        <w:autoSpaceDE w:val="0"/>
        <w:widowControl/>
        <w:spacing w:line="305" w:lineRule="auto" w:before="2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(ii) of that 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“another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resident company which is subject to Advance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Tax under subsection (1A) of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84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;”, of the words “another 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company;”;</w:t>
      </w:r>
    </w:p>
    <w:p>
      <w:pPr>
        <w:autoSpaceDN w:val="0"/>
        <w:tabs>
          <w:tab w:pos="2438" w:val="left"/>
          <w:tab w:pos="2782" w:val="left"/>
        </w:tabs>
        <w:autoSpaceDE w:val="0"/>
        <w:widowControl/>
        <w:spacing w:line="290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addition immediately after subparagraph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of that paragraph, of the following 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76" w:lineRule="auto" w:before="520" w:after="196"/>
        <w:ind w:left="3296" w:right="2422" w:hanging="48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“(iii) to a member who is a non-resident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such dividend is paid prior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January 1, 2023;”;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Schedule, of the following new paragraph: -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amounts derived by a non-resident person</w:t>
            </w:r>
          </w:p>
        </w:tc>
      </w:tr>
    </w:tbl>
    <w:p>
      <w:pPr>
        <w:autoSpaceDN w:val="0"/>
        <w:tabs>
          <w:tab w:pos="3238" w:val="left"/>
        </w:tabs>
        <w:autoSpaceDE w:val="0"/>
        <w:widowControl/>
        <w:spacing w:line="286" w:lineRule="auto" w:before="2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engaging in a project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Sri Lanka, if such project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approved by the Minister taking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 the economic benefits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country, and is totally funded from 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grants;”;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5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" w:hAnsi="Times" w:eastAsia="Times"/>
          <w:b w:val="0"/>
          <w:i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20"/>
        </w:rPr>
        <w:t>) of that Schedule-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83" w:lineRule="auto" w:before="256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(ii) of that paragraph,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after April 1, 2021”, of the words and figures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“on or after April 1, 2021, but prior to April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2023,”;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83" w:lineRule="auto" w:before="254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(v) of that paragraph,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after January 1, 2021”, of the words and figures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“on or after January 1, 2021, but prior to April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1, 2023,”;</w:t>
      </w:r>
    </w:p>
    <w:p>
      <w:pPr>
        <w:autoSpaceDN w:val="0"/>
        <w:tabs>
          <w:tab w:pos="2546" w:val="left"/>
          <w:tab w:pos="2878" w:val="left"/>
        </w:tabs>
        <w:autoSpaceDE w:val="0"/>
        <w:widowControl/>
        <w:spacing w:line="286" w:lineRule="auto" w:before="254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(vi) of that paragraph,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after April 1, 2021;”, of the words and figures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“on or after April 1, 2021, but prior to April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2023, for a period of two years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assessment;”;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35" w:lineRule="auto" w:before="36" w:after="0"/>
        <w:ind w:left="0" w:right="2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Schedule, of the following new paragraph: -</w:t>
      </w:r>
    </w:p>
    <w:p>
      <w:pPr>
        <w:autoSpaceDN w:val="0"/>
        <w:tabs>
          <w:tab w:pos="1410" w:val="left"/>
          <w:tab w:pos="2622" w:val="left"/>
          <w:tab w:pos="2962" w:val="left"/>
        </w:tabs>
        <w:autoSpaceDE w:val="0"/>
        <w:widowControl/>
        <w:spacing w:line="300" w:lineRule="auto" w:before="268" w:after="20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gains and profits received or derived by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person carrying on a Business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Strategic Importance as approved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Colombo Port City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Economic Commission Act, No. 11 of 2021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employment income of an employee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employed in terms of section 35 of that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to the extent provided for in that Act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each year of assessment.”.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46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862" w:right="0" w:firstLine="20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a company has not paid the tax in accordance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provisions of item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subparagraph (4)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Relief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penalty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74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4 of the First Schedule to the principal enactment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amended by the Inland Revenue (Amendment) Act, No.</w:t>
      </w:r>
    </w:p>
    <w:p>
      <w:pPr>
        <w:autoSpaceDN w:val="0"/>
        <w:autoSpaceDE w:val="0"/>
        <w:widowControl/>
        <w:spacing w:line="298" w:lineRule="auto" w:before="64" w:after="20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45 of 2022, for the period commencing on October 1, 2022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ending on the date of the commencement of the said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Inland Revenue (Amendment) Act, No. 45 of 2022, but pays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of tax payable by such company, on or before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thirtieth day of the succeeding month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such company shall not be liable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penalty or interest in terms of the provisions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>principal 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Table ‘A’, Table ‘B’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Table ‘C’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Inland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Table ‘A’,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Revenue (Amendment) Act, No. 45 of 2022 are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Table ‘B’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tables are substituted therefor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Table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‘C’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be deemed to have come into operation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Inland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subsections (2), (3), (4) and (5) of section 1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Revenue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(Amendment)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Inland Revenue (Amendment) Act, No. 45 of 2022: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45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8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 2022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2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39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35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33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2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12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“Table ‘A’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1)</w:t>
            </w:r>
          </w:p>
        </w:tc>
      </w:tr>
      <w:tr>
        <w:trPr>
          <w:trHeight w:hRule="exact" w:val="7926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.99999999999977" w:type="dxa"/>
            </w:tblPr>
            <w:tblGrid>
              <w:gridCol w:w="3040"/>
              <w:gridCol w:w="3040"/>
            </w:tblGrid>
            <w:tr>
              <w:trPr>
                <w:trHeight w:hRule="exact" w:val="522"/>
              </w:trPr>
              <w:tc>
                <w:tcPr>
                  <w:tcW w:type="dxa" w:w="1260"/>
                  <w:tcBorders>
                    <w:start w:sz="7.679999828338623" w:val="single" w:color="#000000"/>
                    <w:top w:sz="7.679999828338623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90" w:after="0"/>
                    <w:ind w:left="25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7.679999828338623" w:val="single" w:color="#000000"/>
                    <w:end w:sz="7.679999828338623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90" w:after="0"/>
                    <w:ind w:left="0" w:right="1544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</w:tr>
            <w:tr>
              <w:trPr>
                <w:trHeight w:hRule="exact" w:val="600"/>
              </w:trPr>
              <w:tc>
                <w:tcPr>
                  <w:tcW w:type="dxa" w:w="1260"/>
                  <w:tcBorders>
                    <w:start w:sz="7.679999828338623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6" w:after="0"/>
                    <w:ind w:left="0" w:right="432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Section of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 this Act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3.8399999141693115" w:val="single" w:color="#000000"/>
                    <w:end w:sz="7.679999828338623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40" w:after="0"/>
                    <w:ind w:left="288" w:right="72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Section of the principal enactment 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which  is amended</w:t>
                  </w:r>
                </w:p>
              </w:tc>
            </w:tr>
            <w:tr>
              <w:trPr>
                <w:trHeight w:hRule="exact" w:val="396"/>
              </w:trPr>
              <w:tc>
                <w:tcPr>
                  <w:tcW w:type="dxa" w:w="1260"/>
                  <w:tcBorders>
                    <w:start w:sz="7.679999828338623" w:val="single" w:color="#000000"/>
                    <w:top w:sz="3.8399999141693115" w:val="single" w:color="#000000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20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3.8399999141693115" w:val="single" w:color="#000000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20" w:after="0"/>
                    <w:ind w:left="31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5</w:t>
                  </w:r>
                </w:p>
              </w:tc>
            </w:tr>
            <w:tr>
              <w:trPr>
                <w:trHeight w:hRule="exact" w:val="318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4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2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12</w:t>
                  </w:r>
                </w:p>
              </w:tc>
            </w:tr>
            <w:tr>
              <w:trPr>
                <w:trHeight w:hRule="exact" w:val="342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0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5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0" w:after="0"/>
                    <w:ind w:left="2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14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6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6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6" w:after="0"/>
                    <w:ind w:left="2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16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11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2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66</w:t>
                  </w: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8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18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8" w:after="0"/>
                    <w:ind w:left="2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87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21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22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94</w:t>
                  </w:r>
                </w:p>
              </w:tc>
            </w:tr>
            <w:tr>
              <w:trPr>
                <w:trHeight w:hRule="exact" w:val="318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22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120</w:t>
                  </w:r>
                </w:p>
              </w:tc>
            </w:tr>
            <w:tr>
              <w:trPr>
                <w:trHeight w:hRule="exact" w:val="338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0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24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0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133</w:t>
                  </w:r>
                </w:p>
              </w:tc>
            </w:tr>
            <w:tr>
              <w:trPr>
                <w:trHeight w:hRule="exact" w:val="304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0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25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0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134</w:t>
                  </w: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26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135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6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27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6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136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32(1) and (3)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195</w:t>
                  </w:r>
                </w:p>
              </w:tc>
            </w:tr>
            <w:tr>
              <w:trPr>
                <w:trHeight w:hRule="exact" w:val="574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46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33(1), (2), (3),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(4) and (5)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46" w:after="0"/>
                    <w:ind w:left="144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subparagraphs (1A) and (1B) of paragraph 1,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paragraphs 3, 4, 5 and 7 of the First Schedule</w:t>
                  </w:r>
                </w:p>
              </w:tc>
            </w:tr>
            <w:tr>
              <w:trPr>
                <w:trHeight w:hRule="exact" w:val="486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92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34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2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subparagraph (6A) of paragraph 1 of the Second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Schedule</w:t>
                  </w:r>
                </w:p>
              </w:tc>
            </w:tr>
            <w:tr>
              <w:trPr>
                <w:trHeight w:hRule="exact" w:val="480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82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35(1)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82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paragraph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gg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 of the Third Schedule</w:t>
                  </w:r>
                </w:p>
              </w:tc>
            </w:tr>
            <w:tr>
              <w:trPr>
                <w:trHeight w:hRule="exact" w:val="518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6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37(1)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6" w:after="0"/>
                    <w:ind w:left="172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item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 of subparagraph (4) of paragraph 1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the Sixth Schedule</w:t>
                  </w:r>
                </w:p>
              </w:tc>
            </w:tr>
            <w:tr>
              <w:trPr>
                <w:trHeight w:hRule="exact" w:val="410"/>
              </w:trPr>
              <w:tc>
                <w:tcPr>
                  <w:tcW w:type="dxa" w:w="1260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7.67999982833862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8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38</w:t>
                  </w:r>
                </w:p>
              </w:tc>
              <w:tc>
                <w:tcPr>
                  <w:tcW w:type="dxa" w:w="3530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7.67999982833862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8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new section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50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69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213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77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3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6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Table ‘B’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(section 1)</w:t>
            </w:r>
          </w:p>
        </w:tc>
      </w:tr>
      <w:tr>
        <w:trPr>
          <w:trHeight w:hRule="exact" w:val="4260"/>
        </w:trPr>
        <w:tc>
          <w:tcPr>
            <w:tcW w:type="dxa" w:w="2255"/>
            <w:vMerge/>
            <w:tcBorders/>
          </w:tcPr>
          <w:p/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.99999999999977" w:type="dxa"/>
            </w:tblPr>
            <w:tblGrid>
              <w:gridCol w:w="3070"/>
              <w:gridCol w:w="3070"/>
            </w:tblGrid>
            <w:tr>
              <w:trPr>
                <w:trHeight w:hRule="exact" w:val="520"/>
              </w:trPr>
              <w:tc>
                <w:tcPr>
                  <w:tcW w:type="dxa" w:w="1998"/>
                  <w:tcBorders>
                    <w:start w:sz="7.679999828338623" w:val="single" w:color="#000000"/>
                    <w:top w:sz="7.679999828338623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12" w:after="0"/>
                    <w:ind w:left="25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2792"/>
                  <w:tcBorders>
                    <w:start w:sz="3.8399999141693115" w:val="single" w:color="#000000"/>
                    <w:top w:sz="7.679999828338623" w:val="single" w:color="#000000"/>
                    <w:end w:sz="7.679999828338623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12" w:after="0"/>
                    <w:ind w:left="5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</w:tr>
            <w:tr>
              <w:trPr>
                <w:trHeight w:hRule="exact" w:val="600"/>
              </w:trPr>
              <w:tc>
                <w:tcPr>
                  <w:tcW w:type="dxa" w:w="1998"/>
                  <w:tcBorders>
                    <w:start w:sz="7.679999828338623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2" w:after="0"/>
                    <w:ind w:left="2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 Section of this Act</w:t>
                  </w:r>
                </w:p>
              </w:tc>
              <w:tc>
                <w:tcPr>
                  <w:tcW w:type="dxa" w:w="2792"/>
                  <w:tcBorders>
                    <w:start w:sz="3.8399999141693115" w:val="single" w:color="#000000"/>
                    <w:top w:sz="3.8399999141693115" w:val="single" w:color="#000000"/>
                    <w:end w:sz="7.679999828338623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2" w:after="0"/>
                    <w:ind w:left="144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Section of the principal enactment 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which is amended</w:t>
                  </w:r>
                </w:p>
              </w:tc>
            </w:tr>
            <w:tr>
              <w:trPr>
                <w:trHeight w:hRule="exact" w:val="718"/>
              </w:trPr>
              <w:tc>
                <w:tcPr>
                  <w:tcW w:type="dxa" w:w="1998"/>
                  <w:tcBorders>
                    <w:start w:sz="7.679999828338623" w:val="single" w:color="#000000"/>
                    <w:top w:sz="3.8399999141693115" w:val="single" w:color="#000000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44" w:after="0"/>
                    <w:ind w:left="10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33(1)</w:t>
                  </w:r>
                </w:p>
              </w:tc>
              <w:tc>
                <w:tcPr>
                  <w:tcW w:type="dxa" w:w="2792"/>
                  <w:tcBorders>
                    <w:start w:sz="3.8399999141693115" w:val="single" w:color="#000000"/>
                    <w:top w:sz="3.8399999141693115" w:val="single" w:color="#000000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6" w:lineRule="auto" w:before="144" w:after="0"/>
                    <w:ind w:left="152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subparagraph (5) of paragraph 1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the First Schedule</w:t>
                  </w:r>
                </w:p>
              </w:tc>
            </w:tr>
            <w:tr>
              <w:trPr>
                <w:trHeight w:hRule="exact" w:val="638"/>
              </w:trPr>
              <w:tc>
                <w:tcPr>
                  <w:tcW w:type="dxa" w:w="1998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6" w:after="0"/>
                    <w:ind w:left="4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35 (2), (3), (4) and (5)</w:t>
                  </w:r>
                </w:p>
              </w:tc>
              <w:tc>
                <w:tcPr>
                  <w:tcW w:type="dxa" w:w="2792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6" w:lineRule="auto" w:before="66" w:after="0"/>
                    <w:ind w:left="15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paragraphs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hh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),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oo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),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ooo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 and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rr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the Third Schedule</w:t>
                  </w:r>
                </w:p>
              </w:tc>
            </w:tr>
            <w:tr>
              <w:trPr>
                <w:trHeight w:hRule="exact" w:val="640"/>
              </w:trPr>
              <w:tc>
                <w:tcPr>
                  <w:tcW w:type="dxa" w:w="1998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8" w:after="0"/>
                    <w:ind w:left="10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36(2)</w:t>
                  </w:r>
                </w:p>
              </w:tc>
              <w:tc>
                <w:tcPr>
                  <w:tcW w:type="dxa" w:w="2792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1.9199999570846558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paragraph 2 of the Fifth Schedule</w:t>
                  </w:r>
                </w:p>
              </w:tc>
            </w:tr>
            <w:tr>
              <w:trPr>
                <w:trHeight w:hRule="exact" w:val="694"/>
              </w:trPr>
              <w:tc>
                <w:tcPr>
                  <w:tcW w:type="dxa" w:w="1998"/>
                  <w:tcBorders>
                    <w:start w:sz="7.679999828338623" w:val="single" w:color="#000000"/>
                    <w:top w:sz="1.9199999570846558" w:val="single" w:color="#221F1F"/>
                    <w:end w:sz="3.8399999141693115" w:val="single" w:color="#000000"/>
                    <w:bottom w:sz="7.67999982833862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70" w:after="0"/>
                    <w:ind w:left="4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 37 (3) and (4)</w:t>
                  </w:r>
                </w:p>
              </w:tc>
              <w:tc>
                <w:tcPr>
                  <w:tcW w:type="dxa" w:w="2792"/>
                  <w:tcBorders>
                    <w:start w:sz="3.8399999141693115" w:val="single" w:color="#000000"/>
                    <w:top w:sz="1.9199999570846558" w:val="single" w:color="#221F1F"/>
                    <w:end w:sz="7.679999828338623" w:val="single" w:color="#000000"/>
                    <w:bottom w:sz="7.67999982833862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auto" w:before="70" w:after="0"/>
                    <w:ind w:left="152" w:right="576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paragraphs 8 and 10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Sixth Schedule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3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2" w:after="0"/>
              <w:ind w:left="0" w:right="11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Table ‘C’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(section 1)</w:t>
            </w:r>
          </w:p>
        </w:tc>
      </w:tr>
      <w:tr>
        <w:trPr>
          <w:trHeight w:hRule="exact" w:val="3390"/>
        </w:trPr>
        <w:tc>
          <w:tcPr>
            <w:tcW w:type="dxa" w:w="2255"/>
            <w:vMerge/>
            <w:tcBorders/>
          </w:tcPr>
          <w:p/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.00000000000011" w:type="dxa"/>
            </w:tblPr>
            <w:tblGrid>
              <w:gridCol w:w="2047"/>
              <w:gridCol w:w="2047"/>
              <w:gridCol w:w="2047"/>
            </w:tblGrid>
            <w:tr>
              <w:trPr>
                <w:trHeight w:hRule="exact" w:val="38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2" w:after="0"/>
                    <w:ind w:left="19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2" w:after="0"/>
                    <w:ind w:left="0" w:right="96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III</w:t>
                  </w:r>
                </w:p>
              </w:tc>
            </w:tr>
            <w:tr>
              <w:trPr>
                <w:trHeight w:hRule="exact" w:val="64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" w:after="0"/>
                    <w:ind w:left="144" w:right="288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Section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of this Act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Section of the principal enactment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 which is amended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" w:after="0"/>
                    <w:ind w:left="144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Date of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operation</w:t>
                  </w:r>
                </w:p>
              </w:tc>
            </w:tr>
            <w:tr>
              <w:trPr>
                <w:trHeight w:hRule="exact" w:val="458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4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4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01.04.2021</w:t>
                  </w:r>
                </w:p>
              </w:tc>
            </w:tr>
            <w:tr>
              <w:trPr>
                <w:trHeight w:hRule="exact" w:val="382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7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18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01.04.2021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8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19(3) and (4)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01.04.2018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9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46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01.04.2021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10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54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01.04.2018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6" w:after="0"/>
                    <w:ind w:left="11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12</w:t>
                  </w:r>
                </w:p>
              </w:tc>
              <w:tc>
                <w:tcPr>
                  <w:tcW w:type="dxa" w:w="256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6" w:after="0"/>
                    <w:ind w:left="9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69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01.04.2018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1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65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95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4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2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Table ‘C’</w:t>
            </w:r>
          </w:p>
        </w:tc>
        <w:tc>
          <w:tcPr>
            <w:tcW w:type="dxa" w:w="2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(section 1)</w:t>
            </w:r>
          </w:p>
        </w:tc>
      </w:tr>
      <w:tr>
        <w:trPr>
          <w:trHeight w:hRule="exact" w:val="57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.999999999999886" w:type="dxa"/>
            </w:tblPr>
            <w:tblGrid>
              <w:gridCol w:w="1633"/>
              <w:gridCol w:w="1633"/>
              <w:gridCol w:w="1633"/>
            </w:tblGrid>
            <w:tr>
              <w:trPr>
                <w:trHeight w:hRule="exact" w:val="378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1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0" w:right="98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Column III</w:t>
                  </w:r>
                </w:p>
              </w:tc>
            </w:tr>
            <w:tr>
              <w:trPr>
                <w:trHeight w:hRule="exact" w:val="642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" w:after="0"/>
                    <w:ind w:left="144" w:right="288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Section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of this Act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Section of the principal enactment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 which is amended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6" w:after="0"/>
                    <w:ind w:left="144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 xml:space="preserve">Date of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operation</w:t>
                  </w:r>
                </w:p>
              </w:tc>
            </w:tr>
            <w:tr>
              <w:trPr>
                <w:trHeight w:hRule="exact" w:val="398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2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13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2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72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8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01.04.2018</w:t>
                  </w:r>
                </w:p>
              </w:tc>
            </w:tr>
            <w:tr>
              <w:trPr>
                <w:trHeight w:hRule="exact" w:val="382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2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14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2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73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01.04.2018</w:t>
                  </w:r>
                </w:p>
              </w:tc>
            </w:tr>
            <w:tr>
              <w:trPr>
                <w:trHeight w:hRule="exact" w:val="398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4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15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4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83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01.01.2023</w:t>
                  </w:r>
                </w:p>
              </w:tc>
            </w:tr>
            <w:tr>
              <w:trPr>
                <w:trHeight w:hRule="exact" w:val="40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2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16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2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84</w:t>
                  </w:r>
                  <w:r>
                    <w:rPr>
                      <w:w w:val="101.81818008422852"/>
                      <w:rFonts w:ascii="Times" w:hAnsi="Times" w:eastAsia="Times"/>
                      <w:b w:val="0"/>
                      <w:i w:val="0"/>
                      <w:color w:val="000000"/>
                      <w:sz w:val="11"/>
                    </w:rPr>
                    <w:t>A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01.01.2023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17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85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1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01.01.2023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4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19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4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88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8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01.01.2023</w:t>
                  </w:r>
                </w:p>
              </w:tc>
            </w:tr>
            <w:tr>
              <w:trPr>
                <w:trHeight w:hRule="exact" w:val="262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20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90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01.04.2021</w:t>
                  </w:r>
                </w:p>
              </w:tc>
            </w:tr>
            <w:tr>
              <w:trPr>
                <w:trHeight w:hRule="exact" w:val="218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32(2)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195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01.04.2020</w:t>
                  </w:r>
                </w:p>
              </w:tc>
            </w:tr>
            <w:tr>
              <w:trPr>
                <w:trHeight w:hRule="exact" w:val="558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33(1) and (7)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0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subparagraph (1C) of paragraph 1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and paragraph 11 of the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First Schedule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6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01.04.2023</w:t>
                  </w:r>
                </w:p>
              </w:tc>
            </w:tr>
            <w:tr>
              <w:trPr>
                <w:trHeight w:hRule="exact" w:val="40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2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35(6) and (7)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82" w:right="28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paragraphs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u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) and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w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Third Schedule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9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31.03.2023</w:t>
                  </w:r>
                </w:p>
              </w:tc>
            </w:tr>
            <w:tr>
              <w:trPr>
                <w:trHeight w:hRule="exact" w:val="500"/>
              </w:trPr>
              <w:tc>
                <w:tcPr>
                  <w:tcW w:type="dxa" w:w="12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0" w:after="0"/>
                    <w:ind w:left="10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36(1)</w:t>
                  </w:r>
                </w:p>
              </w:tc>
              <w:tc>
                <w:tcPr>
                  <w:tcW w:type="dxa" w:w="25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82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subparagraph (</w:t>
                  </w: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16"/>
                    </w:rPr>
                    <w:t>e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) of paragraph 1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 the Fifth Schedule</w:t>
                  </w:r>
                </w:p>
              </w:tc>
              <w:tc>
                <w:tcPr>
                  <w:tcW w:type="dxa" w:w="98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7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01.04.2021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1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.”.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2"/>
        <w:ind w:left="0" w:right="0"/>
      </w:pPr>
    </w:p>
    <w:p>
      <w:pPr>
        <w:autoSpaceDN w:val="0"/>
        <w:autoSpaceDE w:val="0"/>
        <w:widowControl/>
        <w:spacing w:line="2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4510"/>
        <w:gridCol w:w="4510"/>
      </w:tblGrid>
      <w:tr>
        <w:trPr>
          <w:trHeight w:hRule="exact" w:val="9300"/>
        </w:trPr>
        <w:tc>
          <w:tcPr>
            <w:tcW w:type="dxa" w:w="10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51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</w:tbl>
    <w:p>
      <w:pPr>
        <w:autoSpaceDN w:val="0"/>
        <w:autoSpaceDE w:val="0"/>
        <w:widowControl/>
        <w:spacing w:line="238" w:lineRule="auto" w:before="38" w:after="0"/>
        <w:ind w:left="0" w:right="33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