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62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March 31, 2023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03.04.2023)</w:t>
      </w:r>
    </w:p>
    <w:p>
      <w:pPr>
        <w:autoSpaceDN w:val="0"/>
        <w:autoSpaceDE w:val="0"/>
        <w:widowControl/>
        <w:spacing w:line="240" w:lineRule="auto" w:before="4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5" w:lineRule="auto" w:before="482" w:after="0"/>
        <w:ind w:left="2448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CARRIAGE BY AIR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90" w:after="0"/>
        <w:ind w:left="0" w:right="238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Carriage by Air Act, No. 29 of 2018</w:t>
      </w:r>
    </w:p>
    <w:p>
      <w:pPr>
        <w:autoSpaceDN w:val="0"/>
        <w:autoSpaceDE w:val="0"/>
        <w:widowControl/>
        <w:spacing w:line="403" w:lineRule="auto" w:before="396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Ports, Shipping and Aviation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8" w:lineRule="auto" w:before="21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tabs>
          <w:tab w:pos="1584" w:val="left"/>
          <w:tab w:pos="3362" w:val="left"/>
        </w:tabs>
        <w:autoSpaceDE w:val="0"/>
        <w:widowControl/>
        <w:spacing w:line="305" w:lineRule="auto" w:before="0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5 of the Carriage by Air Act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provide for the Minister to specify the limits of liability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domestic carriage by air, whereby the higher threshold applicable to the limits of liability </w:t>
      </w:r>
      <w:r>
        <w:rPr>
          <w:rFonts w:ascii="Times" w:hAnsi="Times" w:eastAsia="Times"/>
          <w:b w:val="0"/>
          <w:i w:val="0"/>
          <w:color w:val="221F1F"/>
          <w:sz w:val="16"/>
        </w:rPr>
        <w:t>for international carriage by air will not be applicable to domestic carriage by air.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998" w:val="left"/>
        </w:tabs>
        <w:autoSpaceDE w:val="0"/>
        <w:widowControl/>
        <w:spacing w:line="398" w:lineRule="exact" w:before="0" w:after="0"/>
        <w:ind w:left="1796" w:right="288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Carriage by Air (Amendment) </w:t>
      </w:r>
      <w:r>
        <w:rPr>
          <w:rFonts w:ascii="Times" w:hAnsi="Times" w:eastAsia="Times"/>
          <w:b w:val="0"/>
          <w:i w:val="0"/>
          <w:color w:val="000000"/>
          <w:sz w:val="20"/>
        </w:rPr>
        <w:t>L.D.-O. 33/2022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708" w:space="0"/>
            <w:col w:w="3312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400" w:after="448"/>
        <w:ind w:left="7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708" w:space="0"/>
            <w:col w:w="3312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038" w:val="left"/>
          <w:tab w:pos="2616" w:val="left"/>
          <w:tab w:pos="3362" w:val="left"/>
          <w:tab w:pos="6718" w:val="left"/>
        </w:tabs>
        <w:autoSpaceDE w:val="0"/>
        <w:widowControl/>
        <w:spacing w:line="338" w:lineRule="auto" w:before="0" w:after="170"/>
        <w:ind w:left="179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ARRIAGE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2018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Carriage by Air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 Carriage by Air Act, No. 29 of 2018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 e c t i o n  5  o 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by the insertion immediately 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29 of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 of that section, of the following new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2018</w:t>
            </w:r>
          </w:p>
        </w:tc>
      </w:tr>
    </w:tbl>
    <w:p>
      <w:pPr>
        <w:autoSpaceDN w:val="0"/>
        <w:tabs>
          <w:tab w:pos="1798" w:val="left"/>
          <w:tab w:pos="2158" w:val="left"/>
          <w:tab w:pos="2518" w:val="left"/>
        </w:tabs>
        <w:autoSpaceDE w:val="0"/>
        <w:widowControl/>
        <w:spacing w:line="302" w:lineRule="exact" w:before="0" w:after="162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subsections:–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The Minister may, from time to time by Order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specify the limits of liability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applicable to carriage by air not 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international carriage by air.”.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78" w:right="6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33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708" w:space="0"/>
            <w:col w:w="3312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8.0" w:type="dxa"/>
      </w:tblPr>
      <w:tblGrid>
        <w:gridCol w:w="4510"/>
        <w:gridCol w:w="4510"/>
      </w:tblGrid>
      <w:tr>
        <w:trPr>
          <w:trHeight w:hRule="exact" w:val="9528"/>
        </w:trPr>
        <w:tc>
          <w:tcPr>
            <w:tcW w:type="dxa" w:w="9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5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Carriage by Air (Amendment)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5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5708" w:space="0"/>
        <w:col w:w="3312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