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4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April 06, 2023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10.04.2023)</w:t>
      </w:r>
    </w:p>
    <w:p>
      <w:pPr>
        <w:autoSpaceDN w:val="0"/>
        <w:autoSpaceDE w:val="0"/>
        <w:widowControl/>
        <w:spacing w:line="240" w:lineRule="auto" w:before="24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auto" w:before="278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NATIONAL EYE BANK TRUST OF SRI LANKA </w:t>
      </w: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22" w:lineRule="auto" w:before="270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establishment of a Trust called the National Eye Bank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Trust of Sri Lanka; to provide corneal tissues, artificial devices and other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tissues required for ophthalmic surgery and for scientific and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technical research and education: to share excess corneal tissues and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other  tissues  required for  ophthalmic  surgery with other countries  and  to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provide   for   matters   connected   therewith   or incidental  therto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Health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5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49/2013</w:t>
      </w:r>
    </w:p>
    <w:p>
      <w:pPr>
        <w:autoSpaceDN w:val="0"/>
        <w:autoSpaceDE w:val="0"/>
        <w:widowControl/>
        <w:spacing w:line="245" w:lineRule="auto" w:before="254" w:after="0"/>
        <w:ind w:left="2056" w:right="2424" w:hanging="25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CALLED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YE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CORNEAL </w:t>
      </w: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ARTIFICIAL</w:t>
      </w:r>
      <w:r>
        <w:rPr>
          <w:rFonts w:ascii="Times" w:hAnsi="Times" w:eastAsia="Times"/>
          <w:b w:val="0"/>
          <w:i w:val="0"/>
          <w:color w:val="221F1F"/>
          <w:sz w:val="14"/>
        </w:rPr>
        <w:t>DEVICES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</w:p>
    <w:p>
      <w:pPr>
        <w:autoSpaceDN w:val="0"/>
        <w:autoSpaceDE w:val="0"/>
        <w:widowControl/>
        <w:spacing w:line="252" w:lineRule="auto" w:before="68" w:after="0"/>
        <w:ind w:left="20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OPHTHALMIC</w:t>
      </w:r>
      <w:r>
        <w:rPr>
          <w:rFonts w:ascii="Times" w:hAnsi="Times" w:eastAsia="Times"/>
          <w:b w:val="0"/>
          <w:i w:val="0"/>
          <w:color w:val="221F1F"/>
          <w:sz w:val="14"/>
        </w:rPr>
        <w:t>SURGERY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SCIENTIFIC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TECHNICAL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RESEARCH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EDUCATION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SHARE</w:t>
      </w:r>
      <w:r>
        <w:rPr>
          <w:rFonts w:ascii="Times" w:hAnsi="Times" w:eastAsia="Times"/>
          <w:b w:val="0"/>
          <w:i w:val="0"/>
          <w:color w:val="221F1F"/>
          <w:sz w:val="14"/>
        </w:rPr>
        <w:t>EXCESS</w:t>
      </w:r>
      <w:r>
        <w:rPr>
          <w:rFonts w:ascii="Times" w:hAnsi="Times" w:eastAsia="Times"/>
          <w:b w:val="0"/>
          <w:i w:val="0"/>
          <w:color w:val="221F1F"/>
          <w:sz w:val="14"/>
        </w:rPr>
        <w:t>CORNEAL</w:t>
      </w: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</w:p>
    <w:p>
      <w:pPr>
        <w:autoSpaceDN w:val="0"/>
        <w:autoSpaceDE w:val="0"/>
        <w:widowControl/>
        <w:spacing w:line="235" w:lineRule="auto" w:before="68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OPHTHALMIC</w:t>
      </w:r>
      <w:r>
        <w:rPr>
          <w:rFonts w:ascii="Times" w:hAnsi="Times" w:eastAsia="Times"/>
          <w:b w:val="0"/>
          <w:i w:val="0"/>
          <w:color w:val="221F1F"/>
          <w:sz w:val="14"/>
        </w:rPr>
        <w:t>SURGERY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COUNTRIES</w:t>
      </w:r>
    </w:p>
    <w:p>
      <w:pPr>
        <w:autoSpaceDN w:val="0"/>
        <w:autoSpaceDE w:val="0"/>
        <w:widowControl/>
        <w:spacing w:line="252" w:lineRule="auto" w:before="82" w:after="0"/>
        <w:ind w:left="20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221F1F"/>
          <w:sz w:val="14"/>
        </w:rPr>
        <w:t>THERTO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.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47" w:lineRule="auto" w:before="254" w:after="0"/>
        <w:ind w:left="147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corneal blindness has been identified as one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major causes for blindness worldwide with highest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prevalence in Asia, and the Ministry of Health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established a National Eye Bank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accommodated in the Colombo National Eye Hospital since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Twenty Fourth day of February, Two Thousand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Eleven with a view to alleviating corneal blindness;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now the Government of Sri Lanka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desirous of incorporating the National Eye Bank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view to alleviating blindness and for the prevention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control of  avoidable blindness.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it therefore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National Eye Bank Trust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 Act, No.         of 2023.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54" w:after="194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YE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There shall be established a Trust to be called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Eye Bank Trust of Sri Lanka (hereinafter referred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ofthe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“the Trust”).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Eye Bank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673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Trust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94" w:val="left"/>
          <w:tab w:pos="3706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64" w:lineRule="auto" w:before="254" w:after="25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Trust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>succession and by that name may sue and be sued.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 The objects of the Trust shall be to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objects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Trust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alleviate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blindness from Sri Lanka and prevent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0" w:right="29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control of  avoidable blindness in Sri Lanka;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16" w:after="25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 as the National Eye Tissue Bank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harvest, process and distribute corneas and other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tissues required for ophthalmic surgery, research</w:t>
            </w:r>
          </w:p>
        </w:tc>
      </w:tr>
    </w:tbl>
    <w:p>
      <w:pPr>
        <w:autoSpaceDN w:val="0"/>
        <w:autoSpaceDE w:val="0"/>
        <w:widowControl/>
        <w:spacing w:line="271" w:lineRule="auto" w:before="22" w:after="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education while adhering to medical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 standards and ethics as shall be prescribed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regulations, relating to harvesting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transplantation of corneal tissues and use of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tissues required for ophthalmic surgery;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enhance public awareness in respect of the benefits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2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values of donation of corneal tissues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tissues required for ophthalmic surgery;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 Tissue Coordinators to harvest corneal tissues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other tissues required for ophthalmic surgery;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free of charge, corneal tissues and other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2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tissues required for ophthalmic surgery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Hospitals for transplantations;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corneal tissues and other tissues required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ophthalmic surgery which are in excess to other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countries and recover from them the processing cost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may be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494" w:val="left"/>
        </w:tabs>
        <w:autoSpaceDE w:val="0"/>
        <w:widowControl/>
        <w:spacing w:line="245" w:lineRule="auto" w:before="0" w:after="0"/>
        <w:ind w:left="30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54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19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OARD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YE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administration and management of the affairs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Trust shall be vested in a Board of Trust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Eye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“the Board”) consisting of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 Trust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of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SriLanka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87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Director-General of Health Services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serve as the Chairman (hereinafter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as “the Chairman”) of the Board;</w:t>
      </w:r>
    </w:p>
    <w:p>
      <w:pPr>
        <w:autoSpaceDN w:val="0"/>
        <w:tabs>
          <w:tab w:pos="2518" w:val="left"/>
          <w:tab w:pos="2878" w:val="left"/>
        </w:tabs>
        <w:autoSpaceDE w:val="0"/>
        <w:widowControl/>
        <w:spacing w:line="254" w:lineRule="auto" w:before="23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Director of Colombo National Eye Hospital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representative not below the rank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Deputy Director;</w:t>
      </w:r>
    </w:p>
    <w:p>
      <w:pPr>
        <w:autoSpaceDN w:val="0"/>
        <w:tabs>
          <w:tab w:pos="2458" w:val="left"/>
          <w:tab w:pos="2878" w:val="left"/>
        </w:tabs>
        <w:autoSpaceDE w:val="0"/>
        <w:widowControl/>
        <w:spacing w:line="245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  representative of the Treasury nominated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Finance;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(iv) the Chief Judicial Medical Officer of Colombo;</w:t>
      </w:r>
    </w:p>
    <w:p>
      <w:pPr>
        <w:autoSpaceDN w:val="0"/>
        <w:tabs>
          <w:tab w:pos="2878" w:val="left"/>
        </w:tabs>
        <w:autoSpaceDE w:val="0"/>
        <w:widowControl/>
        <w:spacing w:line="245" w:lineRule="auto" w:before="254" w:after="194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the Chief Accountant of the  Ministry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Health;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members (hereinafter referred to as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“appointed members”) appointed by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Minister:-</w:t>
      </w:r>
    </w:p>
    <w:p>
      <w:pPr>
        <w:autoSpaceDN w:val="0"/>
        <w:tabs>
          <w:tab w:pos="2578" w:val="left"/>
          <w:tab w:pos="2878" w:val="left"/>
          <w:tab w:pos="4156" w:val="left"/>
          <w:tab w:pos="4922" w:val="left"/>
          <w:tab w:pos="5448" w:val="left"/>
          <w:tab w:pos="6416" w:val="left"/>
        </w:tabs>
        <w:autoSpaceDE w:val="0"/>
        <w:widowControl/>
        <w:spacing w:line="247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representative nominated by the Council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College of Ophthalmologists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Ophthalmologists of Sri Lanka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No.12 of 2000;</w:t>
      </w:r>
    </w:p>
    <w:p>
      <w:pPr>
        <w:autoSpaceDN w:val="0"/>
        <w:autoSpaceDE w:val="0"/>
        <w:widowControl/>
        <w:spacing w:line="245" w:lineRule="auto" w:before="254" w:after="0"/>
        <w:ind w:left="2878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 medical practitioner nominated by the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Medical Council established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94" w:val="left"/>
          <w:tab w:pos="3706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48" w:after="2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Ordinance (Chapter 105), from among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medical practitioners registered in the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Medical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possessing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qualifications and expertise in the field of</w:t>
      </w:r>
    </w:p>
    <w:p>
      <w:pPr>
        <w:autoSpaceDN w:val="0"/>
        <w:tabs>
          <w:tab w:pos="2782" w:val="left"/>
        </w:tabs>
        <w:autoSpaceDE w:val="0"/>
        <w:widowControl/>
        <w:spacing w:line="281" w:lineRule="auto" w:before="6" w:after="0"/>
        <w:ind w:left="13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ophthalmology; and</w:t>
      </w:r>
    </w:p>
    <w:p>
      <w:pPr>
        <w:autoSpaceDN w:val="0"/>
        <w:autoSpaceDE w:val="0"/>
        <w:widowControl/>
        <w:spacing w:line="245" w:lineRule="auto" w:before="198" w:after="182"/>
        <w:ind w:left="2782" w:right="2448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 person who has proven experience and shown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capacity in  the f ields of  law  or  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Every appointed member shall, unless he vacates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earlier, hold office for a period of three years from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his appointment: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45" w:lineRule="auto" w:before="106" w:after="4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 member appointed by the Minister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fill a vacancy in the office of an appointed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 shall unless he vacates office earlier, hold office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unexpired portion of the term of office of the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 he succeeds.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32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appointed member of the Board who vacates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shall, unless he has been removed from office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6, be eligible for re-appointment for not more than </w:t>
      </w:r>
      <w:r>
        <w:rPr>
          <w:rFonts w:ascii="Times" w:hAnsi="Times" w:eastAsia="Times"/>
          <w:b w:val="0"/>
          <w:i w:val="0"/>
          <w:color w:val="221F1F"/>
          <w:sz w:val="20"/>
        </w:rPr>
        <w:t>one further term of office,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Any appointed member of the Board may at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1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resign his office by letter in that behalf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addressed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and such resignation shall take effect 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the resignation 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accepted in writing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may, for reasons assigned therefor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An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Board or to </w:t>
      </w:r>
      <w:r>
        <w:rPr>
          <w:rFonts w:ascii="Times" w:hAnsi="Times" w:eastAsia="Times"/>
          <w:b w:val="0"/>
          <w:i w:val="0"/>
          <w:color w:val="221F1F"/>
          <w:sz w:val="20"/>
        </w:rPr>
        <w:t>serve the Board in any other capacity.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2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appointed member,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shall, subject to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4, appoint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another person to fill such vacancy.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494" w:val="left"/>
        </w:tabs>
        <w:autoSpaceDE w:val="0"/>
        <w:widowControl/>
        <w:spacing w:line="245" w:lineRule="auto" w:before="0" w:after="0"/>
        <w:ind w:left="30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54" w:lineRule="auto" w:before="25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Board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 of ill health or any other cause</w:t>
      </w:r>
      <w:r>
        <w:rPr>
          <w:rFonts w:ascii="Times" w:hAnsi="Times" w:eastAsia="Times"/>
          <w:b w:val="0"/>
          <w:i w:val="0"/>
          <w:color w:val="221F1F"/>
          <w:sz w:val="20"/>
        </w:rPr>
        <w:t>or if he 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of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shall having regard to the provisions of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4 appoint any other person to act in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member during his absence.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6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appointed member of the Board fails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 three consecutive meetings of the Board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prior approval for such absence from the Chairman,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be deemed to have vacated his office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conclusion of the third meeting and the Minister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person to fill such vacancy in the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is not or ceases to be a citizen of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9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is or becomes a member of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 Provincial Council or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has any financial or other interest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may affect the discharge by him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as a member of the Board;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is under any law in force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in any other country found or declared to be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unsound mind;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is serving or has served a sentence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imposed by any court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other country,</w:t>
      </w:r>
    </w:p>
    <w:p>
      <w:pPr>
        <w:autoSpaceDN w:val="0"/>
        <w:tabs>
          <w:tab w:pos="1796" w:val="left"/>
        </w:tabs>
        <w:autoSpaceDE w:val="0"/>
        <w:widowControl/>
        <w:spacing w:line="247" w:lineRule="auto" w:before="26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be disqualified from being appointed or continuing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a member of 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94" w:val="left"/>
          <w:tab w:pos="3706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45" w:lineRule="auto" w:before="254" w:after="0"/>
        <w:ind w:left="1702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If the Chairman is present at a meeting of the Board,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preside at such meeting. In the absence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Board</w:t>
      </w:r>
    </w:p>
    <w:p>
      <w:pPr>
        <w:autoSpaceDN w:val="0"/>
        <w:autoSpaceDE w:val="0"/>
        <w:widowControl/>
        <w:spacing w:line="245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from any meeting, the members present shall elect </w:t>
      </w:r>
      <w:r>
        <w:rPr>
          <w:rFonts w:ascii="Times" w:hAnsi="Times" w:eastAsia="Times"/>
          <w:b w:val="0"/>
          <w:i w:val="0"/>
          <w:color w:val="221F1F"/>
          <w:sz w:val="20"/>
        </w:rPr>
        <w:t>a Chairman from among themselves.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other provisions of this Act, the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regulate the procedure in regard to its meetings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transaction of business at such meetings.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quorum for a meeting of the Board shall be five </w:t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8" w:after="194"/>
        <w:ind w:left="137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there is an equality of votes, the Chairman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in addition to his vote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7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56" w:firstLine="244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 act or proceeding of the Board shall be invalid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 only of any vacancy among its members or any defect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appointment of any of its members.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Vacancy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among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invalidate</w:t>
            </w:r>
          </w:p>
        </w:tc>
      </w:tr>
    </w:tbl>
    <w:p>
      <w:pPr>
        <w:autoSpaceDN w:val="0"/>
        <w:autoSpaceDE w:val="0"/>
        <w:widowControl/>
        <w:spacing w:line="247" w:lineRule="auto" w:before="6" w:after="208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proceedings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 the 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may, from time to time, issue such special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 and</w:t>
            </w:r>
          </w:p>
        </w:tc>
      </w:tr>
      <w:tr>
        <w:trPr>
          <w:trHeight w:hRule="exact" w:val="1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general directions to the Board relating to the exercise,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to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its powers, duties and functions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issued by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and it shall be the duty of the Board to give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to such directions.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III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0" w:after="194"/>
        <w:ind w:left="0" w:right="3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In giving effect to the objects of the Trust and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the Board shall have the  power–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theBoard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harvest, process and distribute corneal tissues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collected from donors upon their death, through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Tissue Coordinator appointed under section 22;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494" w:val="left"/>
        </w:tabs>
        <w:autoSpaceDE w:val="0"/>
        <w:widowControl/>
        <w:spacing w:line="245" w:lineRule="auto" w:before="0" w:after="0"/>
        <w:ind w:left="30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preserve and store corneal tissues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tissues required for ophthalmic surgery under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may be 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arrange to carry out, in consultation with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of Health Services,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ophthalmic surgery;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7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written consent of prospective donors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 of corneal tissues upon their death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provisions of the Transplantation of Human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Tissues Act, No. 48 of 1987 and the Code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Criminal Procedure Act, No.15 of 1979;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recall or downgrade the corneal tissues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tissues required for ophthalmic surgery where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quality of such tissues are not up to the standards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prescribed by regulations to use for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purpose of this Act;</w:t>
      </w:r>
    </w:p>
    <w:p>
      <w:pPr>
        <w:autoSpaceDN w:val="0"/>
        <w:tabs>
          <w:tab w:pos="2156" w:val="left"/>
          <w:tab w:pos="2516" w:val="left"/>
          <w:tab w:pos="2518" w:val="left"/>
        </w:tabs>
        <w:autoSpaceDE w:val="0"/>
        <w:widowControl/>
        <w:spacing w:line="247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maintain in such manner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consultation with the Secretary to the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subject of Health,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and a database of the donors of any corneal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other tissues required for ophthalmic surgery;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47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the Minister in respect of fees to be levied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non-Sri Lankan Nationals in order  to cover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costs relating to transplanting and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corneal tissues and other tissues required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ophthalmic surgery;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share corneal tissues and other tissues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ophthalmic surgery free of processing charges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an act of friendship to any foreign country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requested by the Minister;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share expertise or technology relating to eye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banking with other countries;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94" w:val="left"/>
          <w:tab w:pos="3706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a code of ethics relating to harvesting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transplanting of corneal tissues based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applicable standards;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officers and employees and exercise disciplinary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 over them and to pay them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in terms of the scheme of recruitment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prepared by the Ministry of Health in line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policy applicable therefor;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design, maintain and use a logo for the National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6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Eye Bank of Sri Lanka;</w:t>
      </w:r>
    </w:p>
    <w:p>
      <w:pPr>
        <w:autoSpaceDN w:val="0"/>
        <w:tabs>
          <w:tab w:pos="1988" w:val="left"/>
          <w:tab w:pos="2422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use where necessary, in letter heads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of the National Eye Bank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symbols, signs, marks or letters of any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assisting or accrediting the National Eye Bank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concurrence of the Minister, to enter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with foreign institutions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also be State institutions and incorporated bodies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involved in quality assurance and development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relating to eye banking in order to train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on quality assurance and development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system relating to eye banking;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train the officials of the National Eye Bank of Sri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in or outside Sri Lanka and to train eye bank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officials of other countries on eye banking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transplantation, and to determine fees chargeable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foreign nationals for such training;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lectures, seminars, workshops or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programme on ophthalmic surgery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 of corneas and other tissues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to be followed in respect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and surgeries;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494" w:val="left"/>
        </w:tabs>
        <w:autoSpaceDE w:val="0"/>
        <w:widowControl/>
        <w:spacing w:line="245" w:lineRule="auto" w:before="0" w:after="0"/>
        <w:ind w:left="30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hold, take or give on lease or hire, mortgage,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pledge or sell or otherwise dispose of, any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immovable property belonging to the Trust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construct buildings on any land belonging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thereto;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accept and receive, grants and donations and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5" w:lineRule="auto" w:before="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bequests both movable and immovable,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sources in or outside Sri Lanka to the National Eye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Trust Fund and apply them for the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its functions:</w:t>
      </w:r>
    </w:p>
    <w:p>
      <w:pPr>
        <w:autoSpaceDN w:val="0"/>
        <w:autoSpaceDE w:val="0"/>
        <w:widowControl/>
        <w:spacing w:line="245" w:lineRule="auto" w:before="210" w:after="170"/>
        <w:ind w:left="251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prior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Department of External Resources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all foreign grants, gifts or donations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to the Trust;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open and maintain current, savings or other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 accounts in any State bank or banks as may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Board and to close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generally, to do such other acts and things as are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this Act to facilitate the proper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the functions of the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Trust shall be capable in law to take and hold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property, movable or immovable, which may become vested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Trust to hold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Trust for the purposes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members of the Board may be remunerated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manner as may, from time to time, be determined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Minister with the concurrence of the Minister to whom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of Finance has been assigned.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seal of the Trust shall be in the custody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as the Board may decide, from time to time, and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Trust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94" w:val="left"/>
          <w:tab w:pos="3706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Trust shall not be affixed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in the presence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or in his absence any member authorized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in writing in that behalf, and one other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Board. Both such members shall sign the instrument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in token of their presence and such signing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Board shall maintain a register of every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>or document to which the seal of the Board is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may subject to such conditions as may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specified in writing, delegate any of its powers, duties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etc.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under this Act to any member of the Board.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shall exercise, perform or discharge such power,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or function subject to any special or general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may be issued by the Board.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 delegation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Board may exercise, perform or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such power, duty or function so delegated.</w:t>
      </w:r>
    </w:p>
    <w:p>
      <w:pPr>
        <w:autoSpaceDN w:val="0"/>
        <w:autoSpaceDE w:val="0"/>
        <w:widowControl/>
        <w:spacing w:line="235" w:lineRule="auto" w:before="254" w:after="194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YE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RUST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There shall be established a Fund called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Eye Bank Trust Fund (hereinafter referred to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Eye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Fund”).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 Trust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management, administration, control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of the Fund shall be vested in the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There shall be paid into the Fund</w:t>
      </w:r>
      <w:r>
        <w:rPr>
          <w:rFonts w:ascii="Times" w:hAnsi="Times" w:eastAsia="Times"/>
          <w:b/>
          <w:i w:val="0"/>
          <w:color w:val="221F1F"/>
          <w:sz w:val="20"/>
        </w:rPr>
        <w:t>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Parliament, from time to time, for the use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Trust including the initial grant and the annual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1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grants of the National Eye Bank of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30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8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fund raised, or grants, gifts or donations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received, or moneys realized or collected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sum of money transferred to the Fund under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30;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income from investments or other receipts due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Trust.</w:t>
      </w:r>
    </w:p>
    <w:p>
      <w:pPr>
        <w:autoSpaceDN w:val="0"/>
        <w:autoSpaceDE w:val="0"/>
        <w:widowControl/>
        <w:spacing w:line="235" w:lineRule="auto" w:before="242" w:after="18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There shall be paid out of the Fund-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expenses which are necessary for the functioning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maintenance of the Trust;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other payments as are approved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as being necessary for the purpose of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 the objects of the Trust.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Trust shall be the calendar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8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 cause proper books of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income and expenditure and all other transactions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the Trust.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Board shall cause its books of accounts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balanced as at the thirty-first day of December in each year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shall, before the thirty-first day of March next, cause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prepared, an income and expenditure account and balance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sheet containing a summary of the assets and liabilities of </w:t>
      </w:r>
      <w:r>
        <w:rPr>
          <w:rFonts w:ascii="Times" w:hAnsi="Times" w:eastAsia="Times"/>
          <w:b w:val="0"/>
          <w:i w:val="0"/>
          <w:color w:val="221F1F"/>
          <w:sz w:val="20"/>
        </w:rPr>
        <w:t>the Trust made up to the first-mentioned date.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0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income and expenditure account and the balance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sheet shall be signed by the members of the Board 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do so by a resolution passed by the Board.</w:t>
      </w:r>
    </w:p>
    <w:p>
      <w:pPr>
        <w:autoSpaceDN w:val="0"/>
        <w:autoSpaceDE w:val="0"/>
        <w:widowControl/>
        <w:spacing w:line="245" w:lineRule="auto" w:before="240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accounts of the Trust shall be audited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Auditor-General annually in terms of Article 154 of the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1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94" w:val="left"/>
          <w:tab w:pos="3706" w:val="left"/>
        </w:tabs>
        <w:autoSpaceDE w:val="0"/>
        <w:widowControl/>
        <w:spacing w:line="245" w:lineRule="auto" w:before="0" w:after="194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44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Trust shall within six months of the end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financial year submit to the Minister an annual report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8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activities carried out by the Trust together with a list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assets and liabilities. The audited accounts of the Trust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year along with the Auditor-General’s report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also be attached to such report.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within three months from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receipt of the annual report, table such report along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document specified in subsection (1) in Parliament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consideration.</w:t>
      </w:r>
    </w:p>
    <w:p>
      <w:pPr>
        <w:autoSpaceDN w:val="0"/>
        <w:autoSpaceDE w:val="0"/>
        <w:widowControl/>
        <w:spacing w:line="235" w:lineRule="auto" w:before="254" w:after="0"/>
        <w:ind w:left="0" w:right="4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194"/>
        <w:ind w:left="0" w:right="4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in consultation with the Board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Chief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to the staff of the Trust, a person to be the Chief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  to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Director. The Chief Executive Director shall have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the Chief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and experience as specified by rules made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Chief Executive Director shall,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directions of the Board, be charged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administration of the affairs of the Trust, the exercise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of the powers and duties as may be assigned to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50" w:lineRule="auto" w:before="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by the Board, and the administration and control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of the Trust. The Chief Executive Director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shall function as the Secretary to the Board.</w:t>
      </w:r>
    </w:p>
    <w:p>
      <w:pPr>
        <w:autoSpaceDN w:val="0"/>
        <w:autoSpaceDE w:val="0"/>
        <w:widowControl/>
        <w:spacing w:line="247" w:lineRule="auto" w:before="244" w:after="6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Chief Executive Director may, with the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Board, whenever he considers it necessary to do so,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 to any employee of the Trust, any power, duty or </w:t>
      </w:r>
      <w:r>
        <w:rPr>
          <w:rFonts w:ascii="Times" w:hAnsi="Times" w:eastAsia="Times"/>
          <w:b w:val="0"/>
          <w:i w:val="0"/>
          <w:color w:val="221F1F"/>
          <w:sz w:val="20"/>
        </w:rPr>
        <w:t>function conferred or imposed upon him by this Act,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employee shall exercise, discharge and perform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power, duty or function subject to the general or special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of the Chief Executive Director.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>Executive Director may, notwithstanding such delegation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30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discharge and perform any power, duty or function </w:t>
      </w:r>
      <w:r>
        <w:rPr>
          <w:rFonts w:ascii="Times" w:hAnsi="Times" w:eastAsia="Times"/>
          <w:b w:val="0"/>
          <w:i w:val="0"/>
          <w:color w:val="221F1F"/>
          <w:sz w:val="20"/>
        </w:rPr>
        <w:t>so delegated under this subsection.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 after assigning reasons therefor,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the Chief Executive Director from office and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provisions of subsection (1), appoint another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to act in his place.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Chief Executive Director shall hold office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from the date of his appointment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removed from office under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re-appointment, for not more than one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19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Medical Director of the National Eye Bank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holding office on the day immediately preceding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commencement of this Act, shall function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Chief Executive Director until the first Chief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is appointed in the manner provided for in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Minister, in consultation with the Secretary to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Medical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Ministry of the Minister assigned the subject of Health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Trust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appoint a person who is an ophthalmologist having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completed a Corneal fellowship or has demonstrated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expertise in external eye diseases, corneal surgery, research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teaching experience in cornea or external eye diseases or </w:t>
      </w:r>
      <w:r>
        <w:rPr>
          <w:rFonts w:ascii="Times" w:hAnsi="Times" w:eastAsia="Times"/>
          <w:b w:val="0"/>
          <w:i w:val="0"/>
          <w:color w:val="221F1F"/>
          <w:sz w:val="20"/>
        </w:rPr>
        <w:t>has experience in corneal transplantations to be the Medical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of the Trust.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Board, any officer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may, with the consent of that officer and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officers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servants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 Service Commission be temporarily appointed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staff of the Trust for such period as may be determined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Board and with like consent be permanently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such staff.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to the staff of the Trust, the provisions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94" w:val="left"/>
          <w:tab w:pos="3706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4" w:lineRule="auto" w:before="26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No.37 of 1991 shall,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41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Trust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No.37 of 1991 shall,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appointed such number of Tissue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Coordinators as may be required for the purposes of this Act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Tissue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Coordinators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qualifications, powers and functions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rules made by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officers and servants of the Trust shall be deemed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 and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 of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public servants within the meaning and for the purposes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Trust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</w:tbl>
    <w:p>
      <w:pPr>
        <w:autoSpaceDN w:val="0"/>
        <w:autoSpaceDE w:val="0"/>
        <w:widowControl/>
        <w:spacing w:line="247" w:lineRule="auto" w:before="6" w:after="214"/>
        <w:ind w:left="664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Penal Code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(Chapter 19)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expense incurred by the Trust in any suit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action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 brought by, or against the Trust before any court,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under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out of the Fund, and any costs paid to,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or on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recovered by the Trust in any such suit or prosecution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direction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credited to the Fund.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Board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1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any member of the Board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officer, servant or agent of the Trust in any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against him in any court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 which is done or purported to be done by him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on the direction of the Board shall, if the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that such act was done in good faith, be paid out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unless such expense is recovered by him in such suit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prosecution.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188"/>
        <w:ind w:left="30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3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Trust shall be deemed to 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within the meaning of the Bribery Act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accordingly apply.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meaning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Bribery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p>
      <w:pPr>
        <w:autoSpaceDN w:val="0"/>
        <w:autoSpaceDE w:val="0"/>
        <w:widowControl/>
        <w:spacing w:line="235" w:lineRule="auto" w:before="106" w:after="174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ENALTIES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sale,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 person shall buy, sell or in any manner dispose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 for a valuable consideration, any corneal tissue or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dealing  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tissue required for ophthalmic surgery in violation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corneal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tissues etc.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violation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1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Any person who contravenes the provisions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 be</w:t>
            </w:r>
          </w:p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commits an offence under this Act and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conviction by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fifty thousand rupees, or to imprisonment of either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description for a term not more than two years or both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and imprisonment.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242" w:after="0"/>
        <w:ind w:left="0" w:right="42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45" w:lineRule="auto" w:before="242" w:after="0"/>
        <w:ind w:left="1454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27.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make regulations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which are stated or required by this Act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or in respect of all matters for which regulations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required or authorized to be made by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(1), the Minister may, in consultation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Board make regulations in respect of all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:-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in the collection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corneal tissues and other tissues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ophthalmic surgery;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94" w:val="left"/>
          <w:tab w:pos="3706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72" w:after="19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quality of corneal tissues and other tissues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ophthalmic surgery that are suitable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harvesting for the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for medical and quality standards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adopted in harvesting and transplanting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Corneal tissues;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2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fees to be charged from non-Sri Lankan nationals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cover the cost of transplantation and processing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corneas and other tissues required for ophthalmic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surgery;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to be followed in sharing corneas and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tissues required for ophthalmic surgery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countries.</w:t>
      </w:r>
    </w:p>
    <w:p>
      <w:pPr>
        <w:autoSpaceDN w:val="0"/>
        <w:autoSpaceDE w:val="0"/>
        <w:widowControl/>
        <w:spacing w:line="238" w:lineRule="auto" w:before="252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regulation made by the Minster 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shall be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operation upon such publication or on such later date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may be specified in the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within three months from its publication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Parliament for approval.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from the date of such disapproval but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38" w:lineRule="auto" w:before="252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Notice of the date from which a regulation is deemed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rescinded shall be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may make rules in respect of all or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for which rules are authorized or required by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to be made.</w:t>
      </w:r>
    </w:p>
    <w:p>
      <w:pPr>
        <w:autoSpaceDN w:val="0"/>
        <w:autoSpaceDE w:val="0"/>
        <w:widowControl/>
        <w:spacing w:line="238" w:lineRule="auto" w:before="252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Without prejudice to the generality of the powers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vested in the Board under subsection (1), the Board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 for the following matters in particular–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30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72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determine the qualifications, powers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Tissue Coordinators;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determine the procedures relating to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of corneal tissues and other tissues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ophthalmic surgery to Sri Lankans;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determine the procedure for the recruitment and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5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training of Tissue Coordinators;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maintain registers which shall be kept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maintained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30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rule made under this section shall come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upon publication in the </w:t>
      </w:r>
      <w:r>
        <w:rPr>
          <w:rFonts w:ascii="Times" w:hAnsi="Times" w:eastAsia="Times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45" w:lineRule="auto" w:before="230" w:after="17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under this section shall within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months from the date of its publication in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be brought before Parliament for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Any rule made under this section may be amended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rescinded when necessary.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3, 4, 5, 6, 9, 10, 11, 12, 13, 14, 15, 16, 17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 of the Transplantation of Human Tissues Act, No.48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Transplantation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1987 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in relation to tissues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Human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Tissues Act,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No.48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44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1987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2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91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the provisions contained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Health Development Fund Act, No.13 of 1981,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sums of money lying to the credit of the National Eye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0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of Sri Lanka in the National Health Development Fund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 shall be transferred to the Fund .</w:t>
      </w:r>
    </w:p>
    <w:p>
      <w:pPr>
        <w:autoSpaceDN w:val="0"/>
        <w:autoSpaceDE w:val="0"/>
        <w:widowControl/>
        <w:spacing w:line="245" w:lineRule="auto" w:before="230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officers and servants of the National Eye Bank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holding office on the day immediately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>date of commencement of this Act, shall, with the consent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officers or servants concerned and the Board,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officers or servants of the Trust.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94" w:val="left"/>
          <w:tab w:pos="3706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5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officers and servants who have expressed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under subsection (2) shall be employed,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of the scheme of recruitment prepared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Ministry of Health in accordance with the applicable policy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on terms not less favourable than the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applied to them immediately prior to the date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commencement of this Act.</w:t>
      </w:r>
    </w:p>
    <w:p>
      <w:pPr>
        <w:autoSpaceDN w:val="0"/>
        <w:tabs>
          <w:tab w:pos="6622" w:val="left"/>
        </w:tabs>
        <w:autoSpaceDE w:val="0"/>
        <w:widowControl/>
        <w:spacing w:line="235" w:lineRule="auto" w:before="254" w:after="0"/>
        <w:ind w:left="194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In this Act, unless the context otherwise requires-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tabs>
          <w:tab w:pos="2284" w:val="left"/>
          <w:tab w:pos="2682" w:val="left"/>
        </w:tabs>
        <w:autoSpaceDE w:val="0"/>
        <w:widowControl/>
        <w:spacing w:line="245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 “ means the Minister to whom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Health is assigned in terms of Article 43 or 44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p>
      <w:pPr>
        <w:autoSpaceDN w:val="0"/>
        <w:autoSpaceDE w:val="0"/>
        <w:widowControl/>
        <w:spacing w:line="245" w:lineRule="auto" w:before="254" w:after="0"/>
        <w:ind w:left="2682" w:right="2516" w:hanging="3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“Tissue” shall have the same meaning assigned to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Transplantation of Human Tissues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No.48 of 1987;</w:t>
      </w:r>
    </w:p>
    <w:p>
      <w:pPr>
        <w:autoSpaceDN w:val="0"/>
        <w:tabs>
          <w:tab w:pos="2284" w:val="left"/>
          <w:tab w:pos="2682" w:val="left"/>
        </w:tabs>
        <w:autoSpaceDE w:val="0"/>
        <w:widowControl/>
        <w:spacing w:line="247" w:lineRule="auto" w:before="254" w:after="194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“Tissue Coordinator” means any nursing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the Sri Lanka Medical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Sri Lanka Nursing Council and performs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retrieval, counseling and tissue coordination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Eye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9088" w:after="0"/>
        <w:ind w:left="0" w:right="333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