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0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312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DOCTOR REVEREND HARISPATTUWE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ARIYAWANGSHALANKARA THERO FOUNDATION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2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160" w:after="0"/>
        <w:ind w:left="2304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Ariyawangshalankara Thero Foundation</w:t>
      </w:r>
    </w:p>
    <w:p>
      <w:pPr>
        <w:autoSpaceDN w:val="0"/>
        <w:autoSpaceDE w:val="0"/>
        <w:widowControl/>
        <w:spacing w:line="235" w:lineRule="auto" w:before="3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6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Premnath C. Dolawatte, Attorney at Law, M.P. </w:t>
      </w:r>
      <w:r>
        <w:rPr>
          <w:rFonts w:ascii="Times" w:hAnsi="Times" w:eastAsia="Times"/>
          <w:b w:val="0"/>
          <w:i/>
          <w:color w:val="221F1F"/>
          <w:sz w:val="20"/>
        </w:rPr>
        <w:t>for Colombo District on 27th April, 2023</w:t>
      </w:r>
    </w:p>
    <w:p>
      <w:pPr>
        <w:autoSpaceDN w:val="0"/>
        <w:autoSpaceDE w:val="0"/>
        <w:widowControl/>
        <w:spacing w:line="235" w:lineRule="auto" w:before="254" w:after="0"/>
        <w:ind w:left="0" w:right="27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28,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176]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Doctor Reverend Harispattuwe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57" w:lineRule="auto" w:before="27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EVEREND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ARISPATTUWE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RIYAWANGSHALANKARA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HERO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71" w:lineRule="auto" w:before="310" w:after="0"/>
        <w:ind w:left="15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“Doctor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Reverend Harispattuwe Ariyawangshalankara Thero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objects and transacting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 with the said Foundation according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Doctor Reverend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Harispattuwe Ariyawangshalankara Thero Foundation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Act,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Incorporation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Doctor Reverend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Doctor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Harispattuwe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Reverend Harispattuwe Ariyawangshalankara Thero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Ariyawangshalankara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Thero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Foundation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76" w:lineRule="auto" w:before="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 hereafter be admitted as members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with perpetual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 “Doctor Reverend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Harispattuwe Ariyawangshalankara Thero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“body corporate”)  and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sued, in all Courts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 use a common seal and  to alter 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66" w:after="232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38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operates exclusively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not-for profit Organization and it is solely for the benefit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and its members.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8" w:lineRule="auto" w:before="4" w:after="10"/>
        <w:ind w:left="0" w:right="1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take action for the protection and perpetuation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Sanga;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system to re-strength the relationships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ordained and non-ordained;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protections of the Sambuddha Sasana;</w:t>
      </w:r>
    </w:p>
    <w:p>
      <w:pPr>
        <w:autoSpaceDN w:val="0"/>
        <w:autoSpaceDE w:val="0"/>
        <w:widowControl/>
        <w:spacing w:line="259" w:lineRule="auto" w:before="294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programmes to make the monks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laymen below the age of twenty a set of people who </w:t>
      </w:r>
      <w:r>
        <w:rPr>
          <w:rFonts w:ascii="Times" w:hAnsi="Times" w:eastAsia="Times"/>
          <w:b w:val="0"/>
          <w:i w:val="0"/>
          <w:color w:val="221F1F"/>
          <w:sz w:val="20"/>
        </w:rPr>
        <w:t>have realized the Buddhist hood and related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3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behavioral patterns with proper judgmental skills;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6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and facilitating short, mid and long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meditation training programs;</w:t>
      </w:r>
    </w:p>
    <w:p>
      <w:pPr>
        <w:autoSpaceDN w:val="0"/>
        <w:autoSpaceDE w:val="0"/>
        <w:widowControl/>
        <w:spacing w:line="254" w:lineRule="auto" w:before="294" w:after="0"/>
        <w:ind w:left="230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programmes in relation Buddhist </w:t>
      </w:r>
      <w:r>
        <w:rPr>
          <w:rFonts w:ascii="Times" w:hAnsi="Times" w:eastAsia="Times"/>
          <w:b w:val="0"/>
          <w:i w:val="0"/>
          <w:color w:val="221F1F"/>
          <w:sz w:val="20"/>
        </w:rPr>
        <w:t>economic, social, cultural, educational and ethical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concepts in order to re-establish the Buddhist life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style;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290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effective programmes to wipe out alcohol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drugs;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29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rehabilitation, welfare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36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 for enlightenment of Buddhist culture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retrieval of the Buddhist studies;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76" w:lineRule="auto" w:before="352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print and publishing educative publications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help to achieve enlightenment;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90" w:lineRule="auto" w:before="36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conducting seminars and workshop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a set of lecturers out of monks and laymen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profound knowledge of Dharma who can teach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way to a spiritual life;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356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help the community with proper guidance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counselling to resolve conflicts;</w:t>
      </w:r>
    </w:p>
    <w:p>
      <w:pPr>
        <w:autoSpaceDN w:val="0"/>
        <w:tabs>
          <w:tab w:pos="2398" w:val="left"/>
        </w:tabs>
        <w:autoSpaceDE w:val="0"/>
        <w:widowControl/>
        <w:spacing w:line="271" w:lineRule="auto" w:before="360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opportunities for temporary ordainment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practicing it effectively;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71" w:lineRule="auto" w:before="36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towards achieving national and religious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reconciliation;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95" w:lineRule="auto" w:before="36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local and foreign scholarships for selected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ordained and non ordained leaders who are dedicated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achieving the objectives of the Foundation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positive attitudes;</w:t>
      </w:r>
    </w:p>
    <w:p>
      <w:pPr>
        <w:autoSpaceDN w:val="0"/>
        <w:autoSpaceDE w:val="0"/>
        <w:widowControl/>
        <w:spacing w:line="288" w:lineRule="auto" w:before="342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programmes to make the public refrain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Four Wrong Paths while guiding towards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practicing Four Divine Abodes and Four Way of Kind </w:t>
      </w:r>
      <w:r>
        <w:rPr>
          <w:rFonts w:ascii="Times" w:hAnsi="Times" w:eastAsia="Times"/>
          <w:b w:val="0"/>
          <w:i w:val="0"/>
          <w:color w:val="221F1F"/>
          <w:sz w:val="20"/>
        </w:rPr>
        <w:t>Treatment;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76" w:lineRule="auto" w:before="28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involve in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misa Puja, “material offerings”</w:t>
      </w:r>
      <w:r>
        <w:rPr>
          <w:rFonts w:ascii="Times" w:hAnsi="Times" w:eastAsia="Times"/>
          <w:b w:val="0"/>
          <w:i w:val="0"/>
          <w:color w:val="221F1F"/>
          <w:sz w:val="20"/>
        </w:rPr>
        <w:t>meaningfully giving priority to Pratipatti Puja</w:t>
      </w:r>
      <w:r>
        <w:rPr>
          <w:rFonts w:ascii="Times" w:hAnsi="Times" w:eastAsia="Times"/>
          <w:b w:val="0"/>
          <w:i w:val="0"/>
          <w:color w:val="221F1F"/>
          <w:sz w:val="20"/>
        </w:rPr>
        <w:t>“offering by means of practice”.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38" w:after="278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Corporation and any work being carried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Board of Management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6" w:lineRule="auto" w:before="2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33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until the first Board is appointed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3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2" w:after="0"/>
        <w:ind w:left="15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57" w:lineRule="auto" w:before="280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8" w:after="222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power-</w:t>
      </w:r>
    </w:p>
    <w:p>
      <w:pPr>
        <w:autoSpaceDN w:val="0"/>
        <w:tabs>
          <w:tab w:pos="2120" w:val="left"/>
          <w:tab w:pos="2516" w:val="left"/>
          <w:tab w:pos="2526" w:val="left"/>
        </w:tabs>
        <w:autoSpaceDE w:val="0"/>
        <w:widowControl/>
        <w:spacing w:line="259" w:lineRule="auto" w:before="282" w:after="22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deal with or dispose of the same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expedient with a view to promoting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cash or kind with or without security:</w:t>
            </w:r>
          </w:p>
        </w:tc>
      </w:tr>
    </w:tbl>
    <w:p>
      <w:pPr>
        <w:autoSpaceDN w:val="0"/>
        <w:tabs>
          <w:tab w:pos="2516" w:val="left"/>
          <w:tab w:pos="2816" w:val="left"/>
        </w:tabs>
        <w:autoSpaceDE w:val="0"/>
        <w:widowControl/>
        <w:spacing w:line="262" w:lineRule="auto" w:before="20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made to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Doctor Reverend Harispattuwe</w:t>
      </w:r>
    </w:p>
    <w:p>
      <w:pPr>
        <w:autoSpaceDN w:val="0"/>
        <w:autoSpaceDE w:val="0"/>
        <w:widowControl/>
        <w:spacing w:line="235" w:lineRule="auto" w:before="14" w:after="0"/>
        <w:ind w:left="17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6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make, draw, accept, discount, endorse, negotiate,</w:t>
      </w:r>
    </w:p>
    <w:p>
      <w:pPr>
        <w:autoSpaceDN w:val="0"/>
        <w:autoSpaceDE w:val="0"/>
        <w:widowControl/>
        <w:spacing w:line="238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buy, sell and issue bills of exchange, cheques,</w:t>
      </w:r>
    </w:p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p>
      <w:pPr>
        <w:autoSpaceDN w:val="0"/>
        <w:autoSpaceDE w:val="0"/>
        <w:widowControl/>
        <w:spacing w:line="238" w:lineRule="auto" w:before="1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to open, operate, and close accounts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such manner</w:t>
      </w:r>
    </w:p>
    <w:p>
      <w:pPr>
        <w:autoSpaceDN w:val="0"/>
        <w:autoSpaceDE w:val="0"/>
        <w:widowControl/>
        <w:spacing w:line="238" w:lineRule="auto" w:before="24" w:after="206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 with a view to promoting the objects of</w:t>
      </w:r>
    </w:p>
    <w:p>
      <w:pPr>
        <w:autoSpaceDN w:val="0"/>
        <w:autoSpaceDE w:val="0"/>
        <w:widowControl/>
        <w:spacing w:line="235" w:lineRule="auto" w:before="20" w:after="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appoint, employ, dismiss or terminate the services</w:t>
      </w:r>
    </w:p>
    <w:p>
      <w:pPr>
        <w:autoSpaceDN w:val="0"/>
        <w:autoSpaceDE w:val="0"/>
        <w:widowControl/>
        <w:spacing w:line="238" w:lineRule="auto" w:before="1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such salaries, allowances and gratuities as may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do all other things as are necessary or expedient</w:t>
      </w:r>
    </w:p>
    <w:p>
      <w:pPr>
        <w:autoSpaceDN w:val="0"/>
        <w:autoSpaceDE w:val="0"/>
        <w:widowControl/>
        <w:spacing w:line="238" w:lineRule="auto" w:before="18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rules, not inconsistent with the provisions of this Act or any</w:t>
      </w:r>
    </w:p>
    <w:p>
      <w:pPr>
        <w:autoSpaceDN w:val="0"/>
        <w:tabs>
          <w:tab w:pos="1702" w:val="left"/>
        </w:tabs>
        <w:autoSpaceDE w:val="0"/>
        <w:widowControl/>
        <w:spacing w:line="235" w:lineRule="auto" w:before="20" w:after="0"/>
        <w:ind w:left="13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for all or any of the following matter:-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classification of membership, admission,</w:t>
      </w:r>
    </w:p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p>
      <w:pPr>
        <w:autoSpaceDN w:val="0"/>
        <w:autoSpaceDE w:val="0"/>
        <w:widowControl/>
        <w:spacing w:line="235" w:lineRule="auto" w:before="20" w:after="206"/>
        <w:ind w:left="0" w:right="4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  vacation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or removal from office of office bearers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280" w:after="27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appointments,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 and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Board or any sub</w:t>
            </w:r>
          </w:p>
        </w:tc>
      </w:tr>
    </w:tbl>
    <w:p>
      <w:pPr>
        <w:autoSpaceDN w:val="0"/>
        <w:autoSpaceDE w:val="0"/>
        <w:widowControl/>
        <w:spacing w:line="276" w:lineRule="auto" w:before="20" w:after="27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to be a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and the body corporate;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8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p>
      <w:pPr>
        <w:autoSpaceDN w:val="0"/>
        <w:autoSpaceDE w:val="0"/>
        <w:widowControl/>
        <w:spacing w:line="276" w:lineRule="auto" w:before="33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body corporate.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320" w:after="27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Board shall maintain a register of members in which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name, address and other essential details of the members be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21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44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tabs>
          <w:tab w:pos="1702" w:val="left"/>
          <w:tab w:pos="1942" w:val="left"/>
          <w:tab w:pos="6642" w:val="left"/>
        </w:tabs>
        <w:autoSpaceDE w:val="0"/>
        <w:widowControl/>
        <w:spacing w:line="290" w:lineRule="auto" w:before="4" w:after="0"/>
        <w:ind w:left="14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contributions, fees or grants for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body corporate shall be deposited in one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to the credit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autoSpaceDE w:val="0"/>
        <w:widowControl/>
        <w:spacing w:line="283" w:lineRule="auto" w:before="362" w:after="3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in the exercise, performance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under the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0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83" w:lineRule="auto" w:before="36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6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—</w:t>
      </w:r>
    </w:p>
    <w:p>
      <w:pPr>
        <w:autoSpaceDN w:val="0"/>
        <w:tabs>
          <w:tab w:pos="1978" w:val="left"/>
          <w:tab w:pos="2422" w:val="left"/>
        </w:tabs>
        <w:autoSpaceDE w:val="0"/>
        <w:widowControl/>
        <w:spacing w:line="295" w:lineRule="auto" w:before="346" w:after="0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30" w:val="left"/>
          <w:tab w:pos="6494" w:val="left"/>
        </w:tabs>
        <w:autoSpaceDE w:val="0"/>
        <w:widowControl/>
        <w:spacing w:line="245" w:lineRule="auto" w:before="0" w:after="0"/>
        <w:ind w:left="1850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86" w:lineRule="auto" w:before="282" w:after="278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30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8" w:lineRule="auto" w:before="2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year succeeding the year to which such report relates.</w:t>
      </w:r>
    </w:p>
    <w:p>
      <w:pPr>
        <w:autoSpaceDN w:val="0"/>
        <w:autoSpaceDE w:val="0"/>
        <w:widowControl/>
        <w:spacing w:line="281" w:lineRule="auto" w:before="324" w:after="26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 and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Foundation on that day shall be paid to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 of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56" w:val="left"/>
          <w:tab w:pos="2836" w:val="left"/>
        </w:tabs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95" w:lineRule="auto" w:before="290" w:after="2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otherwise, and all such property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>power to sell, mortgage, lease, exchange or otherwise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5" w:lineRule="auto" w:before="20" w:after="314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of the body corporate and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1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90" w:lineRule="auto" w:before="2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Board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90" w:lineRule="auto" w:before="374" w:after="3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302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liabilities, any property whatsoever, such property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9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Doctor Reverend Harispattuwe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14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38" w:lineRule="auto" w:before="2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subsection (1) the appropriate</w:t>
      </w:r>
    </w:p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 shall be determined by the members of the body</w:t>
      </w:r>
    </w:p>
    <w:p>
      <w:pPr>
        <w:autoSpaceDN w:val="0"/>
        <w:autoSpaceDE w:val="0"/>
        <w:widowControl/>
        <w:spacing w:line="235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p>
      <w:pPr>
        <w:autoSpaceDN w:val="0"/>
        <w:autoSpaceDE w:val="0"/>
        <w:widowControl/>
        <w:spacing w:line="235" w:lineRule="auto" w:before="16" w:after="19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 in this Act contained 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Doctor Reverend Harispattuwe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Ariyawangshalankara Thero Foundation (Incorporation)</w:t>
      </w:r>
    </w:p>
    <w:p>
      <w:pPr>
        <w:autoSpaceDN w:val="0"/>
        <w:autoSpaceDE w:val="0"/>
        <w:widowControl/>
        <w:spacing w:line="235" w:lineRule="auto" w:before="896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