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6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4" w:after="0"/>
        <w:ind w:left="2880" w:right="288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CIVIL PROCEDURE CODE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284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10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44" w:after="0"/>
        <w:ind w:left="0" w:right="245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Civil Procedure Code (Chapter 101)</w:t>
      </w:r>
    </w:p>
    <w:p>
      <w:pPr>
        <w:autoSpaceDN w:val="0"/>
        <w:autoSpaceDE w:val="0"/>
        <w:widowControl/>
        <w:spacing w:line="235" w:lineRule="auto" w:before="31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328" w:after="0"/>
        <w:ind w:left="2160" w:right="230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Minister of Justice, Prison Affairs and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Constitutional Reforms on 11th of May, 2023</w:t>
      </w:r>
    </w:p>
    <w:p>
      <w:pPr>
        <w:autoSpaceDN w:val="0"/>
        <w:autoSpaceDE w:val="0"/>
        <w:widowControl/>
        <w:spacing w:line="238" w:lineRule="auto" w:before="252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19, 2023)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177]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4" w:val="left"/>
        </w:tabs>
        <w:autoSpaceDE w:val="0"/>
        <w:widowControl/>
        <w:spacing w:line="238" w:lineRule="auto" w:before="11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15.00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36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84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50" w:firstLine="0"/>
        <w:jc w:val="right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00" w:after="0"/>
        <w:ind w:left="1436" w:right="1342" w:firstLine="240"/>
        <w:jc w:val="both"/>
      </w:pPr>
      <w:r>
        <w:rPr>
          <w:rFonts w:ascii="TimesNewRoman,Italic" w:hAnsi="TimesNewRoman,Italic" w:eastAsia="TimesNewRoman,Italic"/>
          <w:b w:val="0"/>
          <w:i/>
          <w:color w:val="000000"/>
          <w:sz w:val="16"/>
        </w:rPr>
        <w:t>Clause 2: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This clause inserts new section 431</w:t>
      </w:r>
      <w:r>
        <w:rPr>
          <w:w w:val="101.81818008422852"/>
          <w:rFonts w:ascii="TimesNewRoman" w:hAnsi="TimesNewRoman" w:eastAsia="TimesNewRoman"/>
          <w:b w:val="0"/>
          <w:i w:val="0"/>
          <w:color w:val="000000"/>
          <w:sz w:val="11"/>
        </w:rPr>
        <w:t>A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 in the Civil Procedure Code (Chapter 101)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 xml:space="preserve">and the legal effect of this clause is to make new provisions to conduct medical examinations </w:t>
      </w:r>
      <w:r>
        <w:rPr>
          <w:rFonts w:ascii="TimesNewRoman" w:hAnsi="TimesNewRoman" w:eastAsia="TimesNewRoman"/>
          <w:b w:val="0"/>
          <w:i w:val="0"/>
          <w:color w:val="000000"/>
          <w:sz w:val="16"/>
        </w:rPr>
        <w:t>with the permission of the court, where the action is one for damages for injury to person.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2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35/2021</w:t>
      </w:r>
    </w:p>
    <w:p>
      <w:pPr>
        <w:autoSpaceDN w:val="0"/>
        <w:autoSpaceDE w:val="0"/>
        <w:widowControl/>
        <w:spacing w:line="235" w:lineRule="auto" w:before="230" w:after="0"/>
        <w:ind w:left="1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IVIL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ROCEDURE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101)</w:t>
      </w:r>
    </w:p>
    <w:p>
      <w:pPr>
        <w:autoSpaceDN w:val="0"/>
        <w:autoSpaceDE w:val="0"/>
        <w:widowControl/>
        <w:spacing w:line="245" w:lineRule="auto" w:before="23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996" w:val="left"/>
          <w:tab w:pos="6718" w:val="left"/>
        </w:tabs>
        <w:autoSpaceDE w:val="0"/>
        <w:widowControl/>
        <w:spacing w:line="245" w:lineRule="auto" w:before="230" w:after="158"/>
        <w:ind w:left="1796" w:right="1584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This Act may be cited as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 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431 of the Civil Procedure Code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101), and shall have effect as section 431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101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Code:–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70" w:after="2"/>
        <w:ind w:left="0" w:right="266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“D. -COMMISSIONS FOR MEDICAL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4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Commissions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EXAMINATIONS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431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the action is one for</w:t>
            </w:r>
          </w:p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medical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damages for injury to person, the court shall,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examinations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application made by any party and subject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such terms and conditions as it may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order the injured person to submit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himself to medical examination by one or more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not exceeding three medical practitioners,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nominated by the court.</w:t>
      </w:r>
    </w:p>
    <w:p>
      <w:pPr>
        <w:autoSpaceDN w:val="0"/>
        <w:autoSpaceDE w:val="0"/>
        <w:widowControl/>
        <w:spacing w:line="235" w:lineRule="auto" w:before="230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Upon such examination, the report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submitted to court on or before such date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specified. The court shall forthwith</w:t>
            </w:r>
          </w:p>
        </w:tc>
      </w:tr>
    </w:tbl>
    <w:p>
      <w:pPr>
        <w:autoSpaceDN w:val="0"/>
        <w:autoSpaceDE w:val="0"/>
        <w:widowControl/>
        <w:spacing w:line="245" w:lineRule="auto" w:before="0" w:after="17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cause a copy of each such report to be served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each of the parties.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It shall be lawful for any party to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action to have one or more medical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practitioners of such party’s choice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present at such examination as an observer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observers.</w:t>
      </w:r>
    </w:p>
    <w:p>
      <w:pPr>
        <w:autoSpaceDN w:val="0"/>
        <w:autoSpaceDE w:val="0"/>
        <w:widowControl/>
        <w:spacing w:line="235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Where the injured person fails or refuses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1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an order of court made under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202" w:val="left"/>
          <w:tab w:pos="3562" w:val="left"/>
        </w:tabs>
        <w:autoSpaceDE w:val="0"/>
        <w:widowControl/>
        <w:spacing w:line="245" w:lineRule="auto" w:before="0" w:after="0"/>
        <w:ind w:left="1702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Civil Procedure Code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38" w:after="15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court shall be entitled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draw all such inferences against such person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all the circumstances of the case can properly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drawn by reason of such failure or refusal.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 Such report or reports may, without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57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proof be used as evidence of the facts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stated therein at the trial: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that, the court shall, on application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made by any party to the action and upon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terms as to costs or otherwise as it may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determine, order that the medical practitioner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summoned and examined orally on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arising from or in connection with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or any statement of fact therein or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relevant fact which is alleged by any party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have been omitted therefrom.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Every court shall, from time to time,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prepare a list of medical practitioners residing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or engaged in the practice within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jurisdiction of such court, to whom an order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made under subsection 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for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medical examination: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however, the court shall, prior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inclusion of the name of any medical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practitioner in such list, make such inquiries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to ascertain the regular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availability of such medical practitioner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undertake such medical examination.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(6) For the purpose of this section, “medical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practitioner” means a medical practitioner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registered with the Sri Lanka Medical Council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under the Medical Ordinance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105).”.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Civil Procedure Code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8692" w:after="0"/>
        <w:ind w:left="0" w:right="31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