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0" w:right="249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CARRIAGE BY AIR (AMENDMENT)</w:t>
      </w:r>
    </w:p>
    <w:p>
      <w:pPr>
        <w:autoSpaceDN w:val="0"/>
        <w:autoSpaceDE w:val="0"/>
        <w:widowControl/>
        <w:spacing w:line="367" w:lineRule="auto" w:before="464" w:after="0"/>
        <w:ind w:left="4176" w:right="417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500" w:after="0"/>
        <w:ind w:left="0" w:right="247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Carriage by Air Act, No. 29 of 2018</w:t>
      </w:r>
    </w:p>
    <w:p>
      <w:pPr>
        <w:autoSpaceDN w:val="0"/>
        <w:tabs>
          <w:tab w:pos="2092" w:val="left"/>
          <w:tab w:pos="2604" w:val="left"/>
          <w:tab w:pos="2670" w:val="left"/>
          <w:tab w:pos="2978" w:val="left"/>
          <w:tab w:pos="3556" w:val="left"/>
          <w:tab w:pos="3744" w:val="left"/>
          <w:tab w:pos="3750" w:val="left"/>
        </w:tabs>
        <w:autoSpaceDE w:val="0"/>
        <w:widowControl/>
        <w:spacing w:line="396" w:lineRule="auto" w:before="344" w:after="0"/>
        <w:ind w:left="1344" w:right="216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Presented by the Minister of Ports, Shipping and Aviation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23rd of May, 2023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April 03, 2023)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[Bill No. 180]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0"/>
        <w:ind w:left="0" w:right="0"/>
      </w:pPr>
    </w:p>
    <w:p>
      <w:pPr>
        <w:autoSpaceDN w:val="0"/>
        <w:tabs>
          <w:tab w:pos="1676" w:val="left"/>
          <w:tab w:pos="3456" w:val="left"/>
        </w:tabs>
        <w:autoSpaceDE w:val="0"/>
        <w:widowControl/>
        <w:spacing w:line="305" w:lineRule="auto" w:before="0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5 of the Carriage by Air Act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provide for the Minister to specify the limits of liability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domestic carriage by air, whereby the higher threshold applicable to the limits of liability </w:t>
      </w:r>
      <w:r>
        <w:rPr>
          <w:rFonts w:ascii="Times" w:hAnsi="Times" w:eastAsia="Times"/>
          <w:b w:val="0"/>
          <w:i w:val="0"/>
          <w:color w:val="221F1F"/>
          <w:sz w:val="16"/>
        </w:rPr>
        <w:t>for international carriage by air will not be applicable to domestic carriage by air.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998" w:val="left"/>
        </w:tabs>
        <w:autoSpaceDE w:val="0"/>
        <w:widowControl/>
        <w:spacing w:line="398" w:lineRule="exact" w:before="0" w:after="0"/>
        <w:ind w:left="1798" w:right="288" w:firstLine="0"/>
        <w:jc w:val="left"/>
      </w:pPr>
      <w:r>
        <w:tab/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Carriage by Air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33/2022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08" w:space="0"/>
            <w:col w:w="331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48"/>
        <w:ind w:left="7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08" w:space="0"/>
            <w:col w:w="331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038" w:val="left"/>
          <w:tab w:pos="2616" w:val="left"/>
          <w:tab w:pos="3362" w:val="left"/>
          <w:tab w:pos="6718" w:val="left"/>
        </w:tabs>
        <w:autoSpaceDE w:val="0"/>
        <w:widowControl/>
        <w:spacing w:line="338" w:lineRule="auto" w:before="0" w:after="170"/>
        <w:ind w:left="179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ARRIAGE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Carriage by Air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 of the  Carriage by Air Act, No. 29 of 2018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 e c t i o n  5  o 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amended by the insertion immediately 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29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that section, of the following new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2018</w:t>
            </w:r>
          </w:p>
        </w:tc>
      </w:tr>
    </w:tbl>
    <w:p>
      <w:pPr>
        <w:autoSpaceDN w:val="0"/>
        <w:tabs>
          <w:tab w:pos="1798" w:val="left"/>
          <w:tab w:pos="2158" w:val="left"/>
          <w:tab w:pos="2518" w:val="left"/>
        </w:tabs>
        <w:autoSpaceDE w:val="0"/>
        <w:widowControl/>
        <w:spacing w:line="312" w:lineRule="auto" w:before="18" w:after="16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subsections:–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The Minister may, from time to time by Order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specify the limits of liability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applicable to carriage by air not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carriage by air.”.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8" w:right="6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33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08" w:space="0"/>
            <w:col w:w="3312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8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9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5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55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20"/>
              </w:rPr>
              <w:t>Carriage by Air (Amendment)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5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5708" w:space="0"/>
        <w:col w:w="3312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