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23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June  30, 2023</w:t>
      </w:r>
    </w:p>
    <w:p>
      <w:pPr>
        <w:autoSpaceDN w:val="0"/>
        <w:autoSpaceDE w:val="0"/>
        <w:widowControl/>
        <w:spacing w:line="238" w:lineRule="auto" w:before="27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76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04.07.2023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42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770" w:val="left"/>
        </w:tabs>
        <w:autoSpaceDE w:val="0"/>
        <w:widowControl/>
        <w:spacing w:line="245" w:lineRule="auto" w:before="370" w:after="0"/>
        <w:ind w:left="1962" w:right="1728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SOCIAL  SECURITY  CONTRIBUTION  LEVY </w:t>
      </w:r>
      <w:r>
        <w:tab/>
      </w:r>
      <w:r>
        <w:rPr>
          <w:rFonts w:ascii="Times" w:hAnsi="Times" w:eastAsia="Times"/>
          <w:b/>
          <w:i w:val="0"/>
          <w:color w:val="000000"/>
          <w:sz w:val="24"/>
        </w:rPr>
        <w:t>(AMENDMENT</w:t>
      </w:r>
      <w:r>
        <w:rPr>
          <w:rFonts w:ascii="Times" w:hAnsi="Times" w:eastAsia="Times"/>
          <w:b/>
          <w:i w:val="0"/>
          <w:color w:val="000000"/>
          <w:sz w:val="23"/>
        </w:rPr>
        <w:t>)</w:t>
      </w:r>
    </w:p>
    <w:p>
      <w:pPr>
        <w:autoSpaceDN w:val="0"/>
        <w:autoSpaceDE w:val="0"/>
        <w:widowControl/>
        <w:spacing w:line="238" w:lineRule="auto" w:before="162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312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316" w:after="0"/>
        <w:ind w:left="170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to amend the Social Security Contribution Levy Act, No. 25 of 2022</w:t>
      </w:r>
    </w:p>
    <w:p>
      <w:pPr>
        <w:autoSpaceDN w:val="0"/>
        <w:autoSpaceDE w:val="0"/>
        <w:widowControl/>
        <w:spacing w:line="245" w:lineRule="auto" w:before="400" w:after="0"/>
        <w:ind w:left="2304" w:right="230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Ordered to be published by the Minister of Finance,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Economic Stabilization and National Policies</w:t>
      </w:r>
    </w:p>
    <w:p>
      <w:pPr>
        <w:autoSpaceDN w:val="0"/>
        <w:autoSpaceDE w:val="0"/>
        <w:widowControl/>
        <w:spacing w:line="238" w:lineRule="auto" w:before="494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82" w:val="left"/>
        </w:tabs>
        <w:autoSpaceDE w:val="0"/>
        <w:widowControl/>
        <w:spacing w:line="235" w:lineRule="auto" w:before="106" w:after="0"/>
        <w:ind w:left="145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76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10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14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7" w:lineRule="auto" w:before="222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the First Schedule to the Social Security Contribution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Levy Act, No. 25 of 2022 in order to add items 25, 26, 27, 28 and 29 as exempted articles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PART IA, and to reward item 1 under PART II for the avoidance of doubt and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avoidance of electricity price variations due to the Social Security Contribution Levy and </w:t>
      </w:r>
      <w:r>
        <w:rPr>
          <w:rFonts w:ascii="Times" w:hAnsi="Times" w:eastAsia="Times"/>
          <w:b w:val="0"/>
          <w:i w:val="0"/>
          <w:color w:val="000000"/>
          <w:sz w:val="16"/>
        </w:rPr>
        <w:t>to add item 24 as an exempted service under PART II.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28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24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 O. 54/2022</w:t>
      </w:r>
    </w:p>
    <w:p>
      <w:pPr>
        <w:autoSpaceDN w:val="0"/>
        <w:autoSpaceDE w:val="0"/>
        <w:widowControl/>
        <w:spacing w:line="254" w:lineRule="auto" w:before="294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OCIAL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ECURITY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ONTRIBUTION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EVY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2023</w:t>
      </w:r>
    </w:p>
    <w:p>
      <w:pPr>
        <w:autoSpaceDN w:val="0"/>
        <w:autoSpaceDE w:val="0"/>
        <w:widowControl/>
        <w:spacing w:line="254" w:lineRule="auto" w:before="29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54" w:lineRule="auto" w:before="294" w:after="234"/>
        <w:ind w:left="1796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 xml:space="preserve">1.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may be cited as the Social Security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Contribution Levy (Amendment) Act, No.  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Schedule to the Social Security Contribution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Levy Act, No. 25 of 2022 is hereby amended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First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3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PART IA thereof–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Act,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25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2022</w:t>
            </w:r>
          </w:p>
        </w:tc>
      </w:tr>
    </w:tbl>
    <w:p>
      <w:pPr>
        <w:autoSpaceDN w:val="0"/>
        <w:tabs>
          <w:tab w:pos="2412" w:val="left"/>
          <w:tab w:pos="2756" w:val="left"/>
        </w:tabs>
        <w:autoSpaceDE w:val="0"/>
        <w:widowControl/>
        <w:spacing w:line="262" w:lineRule="auto" w:before="6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 for the words “project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period; and” in item 23,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“project implementation period;”;</w:t>
      </w:r>
    </w:p>
    <w:p>
      <w:pPr>
        <w:autoSpaceDN w:val="0"/>
        <w:autoSpaceDE w:val="0"/>
        <w:widowControl/>
        <w:spacing w:line="259" w:lineRule="auto" w:before="286" w:after="0"/>
        <w:ind w:left="275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 for the words “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Finance.” in item 24, of the words “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Minister of Finance;”;</w:t>
      </w:r>
    </w:p>
    <w:p>
      <w:pPr>
        <w:autoSpaceDN w:val="0"/>
        <w:tabs>
          <w:tab w:pos="2426" w:val="left"/>
          <w:tab w:pos="2756" w:val="left"/>
        </w:tabs>
        <w:autoSpaceDE w:val="0"/>
        <w:widowControl/>
        <w:spacing w:line="254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addition immediately after item 24,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following new items :-</w:t>
      </w:r>
    </w:p>
    <w:p>
      <w:pPr>
        <w:autoSpaceDN w:val="0"/>
        <w:tabs>
          <w:tab w:pos="2912" w:val="left"/>
          <w:tab w:pos="3356" w:val="left"/>
        </w:tabs>
        <w:autoSpaceDE w:val="0"/>
        <w:widowControl/>
        <w:spacing w:line="266" w:lineRule="auto" w:before="29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“25. Any motor vehicle identified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Harmonized Commodity Description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Coding Numbers for Custom purpose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to the excise duty under the Excise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(Special Provisions) Act, No. 13 of 1989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the importation;</w:t>
      </w:r>
    </w:p>
    <w:p>
      <w:pPr>
        <w:autoSpaceDN w:val="0"/>
        <w:tabs>
          <w:tab w:pos="3356" w:val="left"/>
        </w:tabs>
        <w:autoSpaceDE w:val="0"/>
        <w:widowControl/>
        <w:spacing w:line="257" w:lineRule="auto" w:before="290" w:after="0"/>
        <w:ind w:left="30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26. Equipment used by differently abled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  <w:tab w:pos="3562" w:val="left"/>
        </w:tabs>
        <w:autoSpaceDE w:val="0"/>
        <w:widowControl/>
        <w:spacing w:line="254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(Amendment)</w:t>
      </w:r>
    </w:p>
    <w:p>
      <w:pPr>
        <w:autoSpaceDN w:val="0"/>
        <w:tabs>
          <w:tab w:pos="2908" w:val="left"/>
          <w:tab w:pos="3262" w:val="left"/>
        </w:tabs>
        <w:autoSpaceDE w:val="0"/>
        <w:widowControl/>
        <w:spacing w:line="259" w:lineRule="auto" w:before="238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27. Rough unprocessed gem stones imported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person who holds a licence issued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15 of the National Gem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Jewellery Authority Act, No. 50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1993, for the purpose of re-exporting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gems upon being cut and polished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payment in foreign currency, if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currency is remitted to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through a bank;</w:t>
      </w:r>
    </w:p>
    <w:p>
      <w:pPr>
        <w:autoSpaceDN w:val="0"/>
        <w:tabs>
          <w:tab w:pos="2908" w:val="left"/>
        </w:tabs>
        <w:autoSpaceDE w:val="0"/>
        <w:widowControl/>
        <w:spacing w:line="245" w:lineRule="auto" w:before="27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28. Any article sold at duty-free shops; and</w:t>
      </w:r>
    </w:p>
    <w:p>
      <w:pPr>
        <w:autoSpaceDN w:val="0"/>
        <w:tabs>
          <w:tab w:pos="3262" w:val="left"/>
        </w:tabs>
        <w:autoSpaceDE w:val="0"/>
        <w:widowControl/>
        <w:spacing w:line="250" w:lineRule="auto" w:before="276" w:after="0"/>
        <w:ind w:left="29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29. Rice manufactured out of locally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produced paddy.”;</w:t>
      </w:r>
    </w:p>
    <w:p>
      <w:pPr>
        <w:autoSpaceDN w:val="0"/>
        <w:autoSpaceDE w:val="0"/>
        <w:widowControl/>
        <w:spacing w:line="238" w:lineRule="auto" w:before="276" w:after="216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in PART II thereof–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item 1, of the following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item:-</w:t>
            </w:r>
          </w:p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“1.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Generation of electricity and supply of</w:t>
            </w:r>
          </w:p>
        </w:tc>
      </w:tr>
    </w:tbl>
    <w:p>
      <w:pPr>
        <w:autoSpaceDN w:val="0"/>
        <w:tabs>
          <w:tab w:pos="3322" w:val="left"/>
        </w:tabs>
        <w:autoSpaceDE w:val="0"/>
        <w:widowControl/>
        <w:spacing w:line="257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other than the supply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by any person who holds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licence issued under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 of the Sri Lanka Electricity Act, No.</w:t>
      </w:r>
    </w:p>
    <w:p>
      <w:pPr>
        <w:autoSpaceDN w:val="0"/>
        <w:autoSpaceDE w:val="0"/>
        <w:widowControl/>
        <w:spacing w:line="238" w:lineRule="auto" w:before="20" w:after="0"/>
        <w:ind w:left="0" w:right="45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20 of 2009;”;</w:t>
      </w:r>
    </w:p>
    <w:p>
      <w:pPr>
        <w:autoSpaceDN w:val="0"/>
        <w:tabs>
          <w:tab w:pos="2782" w:val="left"/>
        </w:tabs>
        <w:autoSpaceDE w:val="0"/>
        <w:widowControl/>
        <w:spacing w:line="254" w:lineRule="auto" w:before="276" w:after="216"/>
        <w:ind w:left="23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words “foreign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currency; and” in item 22, of the words “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foreign currency;”;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“Gratuity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Fund.” in item 23, of the words “Gratuity Fund;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and”;and</w:t>
      </w:r>
    </w:p>
    <w:p>
      <w:pPr>
        <w:autoSpaceDN w:val="0"/>
        <w:tabs>
          <w:tab w:pos="2782" w:val="left"/>
        </w:tabs>
        <w:autoSpaceDE w:val="0"/>
        <w:widowControl/>
        <w:spacing w:line="250" w:lineRule="auto" w:before="276" w:after="0"/>
        <w:ind w:left="23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addition immediately after item 23,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following new item:-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56" w:val="left"/>
          <w:tab w:pos="6494" w:val="left"/>
        </w:tabs>
        <w:autoSpaceDE w:val="0"/>
        <w:widowControl/>
        <w:spacing w:line="254" w:lineRule="auto" w:before="0" w:after="0"/>
        <w:ind w:left="278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(Amendment)</w:t>
      </w:r>
    </w:p>
    <w:p>
      <w:pPr>
        <w:autoSpaceDN w:val="0"/>
        <w:tabs>
          <w:tab w:pos="3536" w:val="left"/>
        </w:tabs>
        <w:autoSpaceDE w:val="0"/>
        <w:widowControl/>
        <w:spacing w:line="252" w:lineRule="auto" w:before="234" w:after="10"/>
        <w:ind w:left="30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“24.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provided by any General Sales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Agent who holds an Air Transport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Licence issued under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97 of the Civil Aviation Act, No. 14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5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2010.”.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4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37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8" w:lineRule="auto" w:before="8996" w:after="0"/>
        <w:ind w:left="0" w:right="33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