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6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40" w:after="0"/>
        <w:ind w:left="0" w:right="329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July 14, 2023</w:t>
      </w:r>
    </w:p>
    <w:p>
      <w:pPr>
        <w:autoSpaceDN w:val="0"/>
        <w:autoSpaceDE w:val="0"/>
        <w:widowControl/>
        <w:spacing w:line="332" w:lineRule="exact" w:before="26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92" w:lineRule="exact" w:before="274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17.07.2023)</w:t>
      </w:r>
    </w:p>
    <w:p>
      <w:pPr>
        <w:autoSpaceDN w:val="0"/>
        <w:autoSpaceDE w:val="0"/>
        <w:widowControl/>
        <w:spacing w:line="240" w:lineRule="auto" w:before="33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6" w:lineRule="exact" w:before="388" w:after="0"/>
        <w:ind w:left="2736" w:right="2592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JANARAJA FOUNDATION </w:t>
      </w:r>
      <w:r>
        <w:br/>
      </w:r>
      <w:r>
        <w:rPr>
          <w:rFonts w:ascii="Times" w:hAnsi="Times" w:eastAsia="Times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44" w:lineRule="exact" w:before="214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332" w:lineRule="exact" w:before="128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70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132" w:after="0"/>
        <w:ind w:left="0" w:right="277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incorporate the </w:t>
      </w:r>
      <w:r>
        <w:rPr>
          <w:rFonts w:ascii="Times" w:hAnsi="Times" w:eastAsia="Times"/>
          <w:b/>
          <w:i w:val="0"/>
          <w:color w:val="221F1F"/>
          <w:sz w:val="20"/>
        </w:rPr>
        <w:t>Janaraja Foundation</w:t>
      </w:r>
    </w:p>
    <w:p>
      <w:pPr>
        <w:autoSpaceDN w:val="0"/>
        <w:autoSpaceDE w:val="0"/>
        <w:widowControl/>
        <w:spacing w:line="244" w:lineRule="exact" w:before="286" w:after="0"/>
        <w:ind w:left="17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Harshana Rajakaruna, M. P.</w:t>
      </w:r>
    </w:p>
    <w:p>
      <w:pPr>
        <w:autoSpaceDN w:val="0"/>
        <w:autoSpaceDE w:val="0"/>
        <w:widowControl/>
        <w:spacing w:line="244" w:lineRule="exact" w:before="0" w:after="58"/>
        <w:ind w:left="0" w:right="359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for Gampaha District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48"/>
        </w:trPr>
        <w:tc>
          <w:tcPr>
            <w:tcW w:type="dxa" w:w="7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4" w:after="0"/>
              <w:ind w:left="1728" w:right="1584" w:firstLine="0"/>
              <w:jc w:val="center"/>
            </w:pP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PRINTED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DEPARTMENT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OF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GOVERNMENT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PRINTING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SRI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LANKA </w:t>
            </w:r>
            <w:r>
              <w:br/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TO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PURCHASED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GOVERNMENT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PUBLICATIONS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BUREAU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COLOMBO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5</w:t>
            </w:r>
          </w:p>
        </w:tc>
      </w:tr>
      <w:tr>
        <w:trPr>
          <w:trHeight w:hRule="exact" w:val="280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7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24.00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66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756"/>
        </w:trPr>
        <w:tc>
          <w:tcPr>
            <w:tcW w:type="dxa" w:w="6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38" w:after="0"/>
              <w:ind w:left="7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Gazette Supplement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4510"/>
        <w:gridCol w:w="4510"/>
      </w:tblGrid>
      <w:tr>
        <w:trPr>
          <w:trHeight w:hRule="exact" w:val="590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584" w:right="576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Janaraja Foundation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58" w:after="166"/>
        <w:ind w:left="0" w:right="29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14"/>
        </w:rPr>
        <w:t>ANARAJA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8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WHEREAS a Foundation called and known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“Janaraja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heretofore been formed established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of effectually carrying out and transacting all matters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connected with the said Foundation according to the rules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agreed to by its members: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WHEREAS the said Foundation has heretofore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successfully carried out and transacted the several objects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matters for which it was established and has applied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incorporated and it will be for the public advantage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 the said application.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8" w:lineRule="exact" w:before="178" w:after="16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80" w:lineRule="exact" w:before="5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Janaraja Foundation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(Incorporation) Act, No.    of 2023 and this non-government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organization which has been established for the purpose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 welfare is called as Janaraja Foundation.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78" w:lineRule="exact" w:before="12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Incorporation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Janaraja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Janaraja Foundation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“Foundation”) and shall hereafter be admitted as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Foundation hereby constituted shall be body corporate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perpetual succession under the name and style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Janaraja Foundation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“Foundation”), and by that name may sue and be sued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full power and authority to have, and use a common seal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alter the same at its pleasure.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4" w:val="left"/>
              </w:tabs>
              <w:autoSpaceDE w:val="0"/>
              <w:widowControl/>
              <w:spacing w:line="280" w:lineRule="exact" w:before="11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Foundation is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achievement of human well-being without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indifference to race, religion, caste etc.;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4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8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Janaraja Foundation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1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eliminating poverty and identifying obstacles of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 existence and pioneering the human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development;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dedicated for creating a Sri Lankan community who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peaceful and friendly with matual understanding</w:t>
            </w:r>
          </w:p>
        </w:tc>
      </w:tr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without any segregation;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contributing to creat a country full of well-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disciplined citizens by joining to create a society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mutually understood various values that make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human virtuous;</w:t>
            </w:r>
          </w:p>
        </w:tc>
      </w:tr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partaking to create a citizen who believes that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patriotism can only be generated with the concept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being a Sri Lankan citizen not with the concepts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rade, religion, caste or any other ethnicity;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attempting to create an assured human community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convicing the notion that the vision of all</w:t>
            </w:r>
          </w:p>
        </w:tc>
      </w:tr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religious scholars is none other than human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and social welfare;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socializing the idea that education shall not be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interfered by  religion, economy, age, gender,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background and any other factor and acting against</w:t>
            </w:r>
          </w:p>
        </w:tc>
      </w:tr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obstacles;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protection, preservation, dissemination, evaluation,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matually understanding of cultural values and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steps to discard barriers existing to destroy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 without any religious segregation;</w:t>
            </w:r>
          </w:p>
        </w:tc>
      </w:tr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7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pioneering and evaluation human thoughts and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feelings of all types of arts and crafts, aesthetics,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their apreciation and undrstanding and identifying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disposing obstacles existing against their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dissemination;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6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Janaraja Foundation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4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cherishing contemporary literature and acting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updated to evaluate ancient literary books and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 knowledge and comprehention thereof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students;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engaging in activities which are not specified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above, which are incidentally accepted and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matters which are understood without delay.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0" w:right="17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Foundation shall have the power:–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request and recive contributions, grants, donations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gifts of all forms as may be necessary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the Foundation;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purchase, rent, lease or otherwise obtain lands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buildings which may be required for the purpose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Foundation;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60" w:lineRule="exact" w:before="174" w:after="194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to borrow or raise funds with or without interest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the Foundaion;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47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2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9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61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make, draw, accept, discount, endorse, buy, sell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issue bills of exchange, cheques, promissory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notes and other negotiable instruments and to open,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operate, maintain, and close accounts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bank;</w:t>
            </w:r>
          </w:p>
          <w:p>
            <w:pPr>
              <w:autoSpaceDN w:val="0"/>
              <w:autoSpaceDE w:val="0"/>
              <w:widowControl/>
              <w:spacing w:line="258" w:lineRule="exact" w:before="262" w:after="0"/>
              <w:ind w:left="618" w:right="1204" w:hanging="33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invest any funds not immediately required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purposes of the Foundation, in such manner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Executive Council may deem necessary;</w:t>
            </w:r>
          </w:p>
        </w:tc>
      </w:tr>
    </w:tbl>
    <w:p>
      <w:pPr>
        <w:autoSpaceDN w:val="0"/>
        <w:autoSpaceDE w:val="0"/>
        <w:widowControl/>
        <w:spacing w:line="260" w:lineRule="exact" w:before="194" w:after="0"/>
        <w:ind w:left="251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enter into agreement or contracts with any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company or body of persons with a view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promoting the objects of the Foundation;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576" w:right="187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Janaraja Foundation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</w:tr>
    </w:tbl>
    <w:p>
      <w:pPr>
        <w:autoSpaceDN w:val="0"/>
        <w:autoSpaceDE w:val="0"/>
        <w:widowControl/>
        <w:spacing w:line="252" w:lineRule="exact" w:before="176" w:after="178"/>
        <w:ind w:left="2422" w:right="25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trust or any condition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affect any movable or immovable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15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23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60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appoint, employ, dismiss or terminate the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officers and servants of the Foundation and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pay them such salaries, allowances and gratuities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determined by the Foundation; and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602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do all other things as are necessary or expedient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proper and effective carrying out of the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objects of the Foundation;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2" w:lineRule="exact" w:before="190" w:after="178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It is the responsibility of every member to obey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recongnized rules of the Foundation.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0" w:val="left"/>
              </w:tabs>
              <w:autoSpaceDE w:val="0"/>
              <w:widowControl/>
              <w:spacing w:line="280" w:lineRule="exact" w:before="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Foundation shall be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administered by a Board of Management who was appointed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Structure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resolution in accordance with the rules of the Foundation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effective in the time being.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192" w:after="16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first Board of Management of the Foundation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consist of members who held office prior to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operation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69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75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52" w:lineRule="exact" w:before="84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Board of Management shall consist of members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following hierarchical order–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Chairperson;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Three posts of Vice Chairpersons (appointed under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various subjects);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Registrar;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Three posts of Assistant Registrars (appointed under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various subjects);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1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6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Janaraja Foundation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1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Organizational Secretary;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Executive;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Assistant Financial Executive;</w:t>
            </w:r>
          </w:p>
        </w:tc>
      </w:tr>
      <w:tr>
        <w:trPr>
          <w:trHeight w:hRule="exact" w:val="69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Executive Council (it is necessary to appoint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Excutive Council consisting of eight members).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36" w:lineRule="exact" w:before="160" w:after="15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General  responsibilities  of  the  Board  of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3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Chairperson–</w:t>
            </w:r>
          </w:p>
        </w:tc>
      </w:tr>
      <w:tr>
        <w:trPr>
          <w:trHeight w:hRule="exact" w:val="6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2" w:after="0"/>
              <w:ind w:left="1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 shall be responsible for all the affairs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his leadership;</w:t>
            </w:r>
          </w:p>
        </w:tc>
      </w:tr>
      <w:tr>
        <w:trPr>
          <w:trHeight w:hRule="exact" w:val="8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38" w:after="0"/>
              <w:ind w:left="1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 shall preside at every meeting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Board;</w:t>
            </w:r>
          </w:p>
        </w:tc>
      </w:tr>
      <w:tr>
        <w:trPr>
          <w:trHeight w:hRule="exact" w:val="7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2" w:after="0"/>
              <w:ind w:left="1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 shall build up well-being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coordination of the Board of Management;</w:t>
            </w:r>
          </w:p>
        </w:tc>
      </w:tr>
      <w:tr>
        <w:trPr>
          <w:trHeight w:hRule="exact" w:val="4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shall re-sructure all the necessities;</w:t>
            </w:r>
          </w:p>
        </w:tc>
      </w:tr>
      <w:tr>
        <w:trPr>
          <w:trHeight w:hRule="exact" w:val="4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4" w:after="0"/>
              <w:ind w:left="1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 shall provide the necessary plans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request and collect contributions, grants,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donations and all forms of gifts that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necessary for the purposes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Foundation.</w:t>
            </w:r>
          </w:p>
        </w:tc>
      </w:tr>
      <w:tr>
        <w:trPr>
          <w:trHeight w:hRule="exact" w:val="93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Vice Chairpersons–</w:t>
            </w:r>
          </w:p>
        </w:tc>
      </w:tr>
      <w:tr>
        <w:trPr>
          <w:trHeight w:hRule="exact" w:val="96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7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8" w:after="0"/>
              <w:ind w:left="1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absence of Chairperson, they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perform the duties of the Chairperson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his order;</w:t>
            </w:r>
          </w:p>
        </w:tc>
      </w:tr>
      <w:tr>
        <w:trPr>
          <w:trHeight w:hRule="exact" w:val="5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4" w:after="0"/>
              <w:ind w:left="144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They shall organize and maintain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projects assigned and conferred to them.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8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Janaraja Foundation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1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</w:tr>
      <w:tr>
        <w:trPr>
          <w:trHeight w:hRule="exact" w:val="4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Registrar–</w:t>
            </w:r>
          </w:p>
        </w:tc>
      </w:tr>
    </w:tbl>
    <w:p>
      <w:pPr>
        <w:autoSpaceDN w:val="0"/>
        <w:autoSpaceDE w:val="0"/>
        <w:widowControl/>
        <w:spacing w:line="268" w:lineRule="exact" w:before="178" w:after="0"/>
        <w:ind w:left="0" w:right="36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He shall note all the records;</w:t>
      </w:r>
    </w:p>
    <w:p>
      <w:pPr>
        <w:autoSpaceDN w:val="0"/>
        <w:autoSpaceDE w:val="0"/>
        <w:widowControl/>
        <w:spacing w:line="268" w:lineRule="exact" w:before="236" w:after="176"/>
        <w:ind w:left="0" w:right="28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He shall organize and record meetings;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4" w:val="left"/>
              </w:tabs>
              <w:autoSpaceDE w:val="0"/>
              <w:widowControl/>
              <w:spacing w:line="252" w:lineRule="exact" w:before="76" w:after="0"/>
              <w:ind w:left="5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 He shall maintain a proper coordination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among the Board of Management;</w:t>
            </w:r>
          </w:p>
        </w:tc>
      </w:tr>
    </w:tbl>
    <w:p>
      <w:pPr>
        <w:autoSpaceDN w:val="0"/>
        <w:autoSpaceDE w:val="0"/>
        <w:widowControl/>
        <w:spacing w:line="252" w:lineRule="exact" w:before="160" w:after="0"/>
        <w:ind w:left="3024" w:right="2516" w:hanging="40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He shall record the documents of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proposals and projects and issue necessary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guidelines to carry out them.</w:t>
      </w:r>
    </w:p>
    <w:p>
      <w:pPr>
        <w:autoSpaceDN w:val="0"/>
        <w:autoSpaceDE w:val="0"/>
        <w:widowControl/>
        <w:spacing w:line="268" w:lineRule="exact" w:before="236" w:after="176"/>
        <w:ind w:left="20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Assistance Registrars (03 posts)–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4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4" w:val="left"/>
              </w:tabs>
              <w:autoSpaceDE w:val="0"/>
              <w:widowControl/>
              <w:spacing w:line="252" w:lineRule="exact" w:before="76" w:after="0"/>
              <w:ind w:left="5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They shall perform duties assigned by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Registrar;</w:t>
            </w:r>
          </w:p>
        </w:tc>
      </w:tr>
    </w:tbl>
    <w:p>
      <w:pPr>
        <w:autoSpaceDN w:val="0"/>
        <w:tabs>
          <w:tab w:pos="3024" w:val="left"/>
        </w:tabs>
        <w:autoSpaceDE w:val="0"/>
        <w:widowControl/>
        <w:spacing w:line="252" w:lineRule="exact" w:before="192" w:after="0"/>
        <w:ind w:left="26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They shall actively assits in every activity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Registrar.</w:t>
      </w:r>
    </w:p>
    <w:p>
      <w:pPr>
        <w:autoSpaceDN w:val="0"/>
        <w:autoSpaceDE w:val="0"/>
        <w:widowControl/>
        <w:spacing w:line="268" w:lineRule="exact" w:before="236" w:after="176"/>
        <w:ind w:left="20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Organizational Secretary–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9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6" w:after="0"/>
              <w:ind w:left="884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He shall be responsible for organizing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special projects precisely and efficiently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carried out by the Organization.</w:t>
            </w:r>
          </w:p>
        </w:tc>
      </w:tr>
    </w:tbl>
    <w:p>
      <w:pPr>
        <w:autoSpaceDN w:val="0"/>
        <w:autoSpaceDE w:val="0"/>
        <w:widowControl/>
        <w:spacing w:line="268" w:lineRule="exact" w:before="176" w:after="0"/>
        <w:ind w:left="21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Financial Executive–</w:t>
      </w:r>
    </w:p>
    <w:p>
      <w:pPr>
        <w:autoSpaceDN w:val="0"/>
        <w:autoSpaceDE w:val="0"/>
        <w:widowControl/>
        <w:spacing w:line="268" w:lineRule="exact" w:before="236" w:after="172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He shall administer all the finance;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9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0" w:after="0"/>
              <w:ind w:left="924" w:right="1256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He shall maintain all the transactions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methodically, econiomically, efficiently,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precisely and transparently;</w:t>
            </w:r>
          </w:p>
        </w:tc>
      </w:tr>
    </w:tbl>
    <w:p>
      <w:pPr>
        <w:autoSpaceDN w:val="0"/>
        <w:tabs>
          <w:tab w:pos="3024" w:val="left"/>
        </w:tabs>
        <w:autoSpaceDE w:val="0"/>
        <w:widowControl/>
        <w:spacing w:line="252" w:lineRule="exact" w:before="192" w:after="0"/>
        <w:ind w:left="26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He shall be responsible for maintaining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updating records thereof;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584" w:right="576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Janaraja Foundation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56" w:lineRule="exact" w:before="176" w:after="0"/>
        <w:ind w:left="3118" w:right="2422" w:hanging="40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He shall collect accurate data on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and make the Board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Management aware of such reports.</w:t>
      </w:r>
    </w:p>
    <w:p>
      <w:pPr>
        <w:autoSpaceDN w:val="0"/>
        <w:autoSpaceDE w:val="0"/>
        <w:widowControl/>
        <w:spacing w:line="266" w:lineRule="exact" w:before="244" w:after="18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Assistant Financial Executive–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64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8" w:val="left"/>
              </w:tabs>
              <w:autoSpaceDE w:val="0"/>
              <w:widowControl/>
              <w:spacing w:line="256" w:lineRule="exact" w:before="76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He shall fully assits in the affairs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Executive in his absentia;</w:t>
            </w:r>
          </w:p>
        </w:tc>
      </w:tr>
    </w:tbl>
    <w:p>
      <w:pPr>
        <w:autoSpaceDN w:val="0"/>
        <w:tabs>
          <w:tab w:pos="3118" w:val="left"/>
        </w:tabs>
        <w:autoSpaceDE w:val="0"/>
        <w:widowControl/>
        <w:spacing w:line="256" w:lineRule="exact" w:before="196" w:after="184"/>
        <w:ind w:left="27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He shall act on behalf of the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Executive in his absentia.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8" w:val="left"/>
              </w:tabs>
              <w:autoSpaceDE w:val="0"/>
              <w:widowControl/>
              <w:spacing w:line="256" w:lineRule="exact" w:before="72" w:after="0"/>
              <w:ind w:left="24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Executive Council (it is necessary to appoint an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Council cosisting of eight members).</w:t>
            </w:r>
          </w:p>
        </w:tc>
      </w:tr>
    </w:tbl>
    <w:p>
      <w:pPr>
        <w:autoSpaceDN w:val="0"/>
        <w:autoSpaceDE w:val="0"/>
        <w:widowControl/>
        <w:spacing w:line="258" w:lineRule="exact" w:before="18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following responsibilities of sub-topics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and conferred to each Executive Assistance other </w:t>
      </w:r>
      <w:r>
        <w:rPr>
          <w:rFonts w:ascii="Times" w:hAnsi="Times" w:eastAsia="Times"/>
          <w:b w:val="0"/>
          <w:i w:val="0"/>
          <w:color w:val="000000"/>
          <w:sz w:val="20"/>
        </w:rPr>
        <w:t>than the collective responsibility of this Executive Council–</w:t>
      </w:r>
    </w:p>
    <w:p>
      <w:pPr>
        <w:autoSpaceDN w:val="0"/>
        <w:autoSpaceDE w:val="0"/>
        <w:widowControl/>
        <w:spacing w:line="266" w:lineRule="exact" w:before="244" w:after="0"/>
        <w:ind w:left="2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Economic and community services;</w:t>
      </w:r>
    </w:p>
    <w:p>
      <w:pPr>
        <w:autoSpaceDN w:val="0"/>
        <w:tabs>
          <w:tab w:pos="2162" w:val="left"/>
        </w:tabs>
        <w:autoSpaceDE w:val="0"/>
        <w:widowControl/>
        <w:spacing w:line="282" w:lineRule="exact" w:before="23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Fine arts, arts, aesthetics and literature;</w:t>
      </w:r>
    </w:p>
    <w:p>
      <w:pPr>
        <w:autoSpaceDN w:val="0"/>
        <w:tabs>
          <w:tab w:pos="2518" w:val="left"/>
        </w:tabs>
        <w:autoSpaceDE w:val="0"/>
        <w:widowControl/>
        <w:spacing w:line="254" w:lineRule="exact" w:before="246" w:after="0"/>
        <w:ind w:left="21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Sports and traditional games, sports festivals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tournaments;</w:t>
      </w:r>
    </w:p>
    <w:p>
      <w:pPr>
        <w:autoSpaceDN w:val="0"/>
        <w:autoSpaceDE w:val="0"/>
        <w:widowControl/>
        <w:spacing w:line="268" w:lineRule="exact" w:before="246" w:after="184"/>
        <w:ind w:left="2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Religious and cultural affairs;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7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8" w:val="left"/>
              </w:tabs>
              <w:autoSpaceDE w:val="0"/>
              <w:widowControl/>
              <w:spacing w:line="258" w:lineRule="exact" w:before="68" w:after="0"/>
              <w:ind w:left="2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Agriculture, evaluation process of tradition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indigenousness;</w:t>
            </w:r>
          </w:p>
        </w:tc>
      </w:tr>
    </w:tbl>
    <w:p>
      <w:pPr>
        <w:autoSpaceDN w:val="0"/>
        <w:autoSpaceDE w:val="0"/>
        <w:widowControl/>
        <w:spacing w:line="266" w:lineRule="exact" w:before="152" w:after="0"/>
        <w:ind w:left="220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Enviroment and wildlife activities;</w:t>
      </w:r>
    </w:p>
    <w:p>
      <w:pPr>
        <w:autoSpaceDN w:val="0"/>
        <w:autoSpaceDE w:val="0"/>
        <w:widowControl/>
        <w:spacing w:line="268" w:lineRule="exact" w:before="244" w:after="0"/>
        <w:ind w:left="2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Techniques of education and new technology;</w:t>
      </w:r>
    </w:p>
    <w:p>
      <w:pPr>
        <w:autoSpaceDN w:val="0"/>
        <w:autoSpaceDE w:val="0"/>
        <w:widowControl/>
        <w:spacing w:line="268" w:lineRule="exact" w:before="246" w:after="0"/>
        <w:ind w:left="2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 Inspection of accounts;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9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Janaraja Foundation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1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Metting of the Board of Management:–</w:t>
            </w:r>
          </w:p>
        </w:tc>
      </w:tr>
    </w:tbl>
    <w:p>
      <w:pPr>
        <w:autoSpaceDN w:val="0"/>
        <w:autoSpaceDE w:val="0"/>
        <w:widowControl/>
        <w:spacing w:line="262" w:lineRule="exact" w:before="198" w:after="190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appointments of the Board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shall be in force for a period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two years;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It shall be necessary to appoint a new Board of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Organizational</w:t>
            </w:r>
          </w:p>
        </w:tc>
      </w:tr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one month prior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completion of the prescribed period of time, if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state of emergency in the country has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occurred;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8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If it has been delayed to appoint such a new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Board, it shall be a fixed rule not to carry 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projects, or perform or carry out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activities;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It shall be necessary to hold a general meeting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least once in every three months and no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resolution and decision shall be made unless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is the majority power of more than one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third including the absentees to the general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9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registrar may not fail to convene a general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 in response to a written request made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one third of the members;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9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Every Board of Management shall submit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plan for the subsequent two years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witin a period of month upon their new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Foundation shall have its own fund and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utilized for the activities and for the provision of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proposed projects thereof.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6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Janaraja Foundation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  <w:tr>
        <w:trPr>
          <w:trHeight w:hRule="exact" w:val="1674"/>
        </w:trPr>
        <w:tc>
          <w:tcPr>
            <w:tcW w:type="dxa" w:w="3007"/>
            <w:vMerge/>
            <w:tcBorders/>
          </w:tcPr>
          <w:p/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29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  <w:p>
            <w:pPr>
              <w:autoSpaceDN w:val="0"/>
              <w:tabs>
                <w:tab w:pos="338" w:val="left"/>
                <w:tab w:pos="816" w:val="left"/>
              </w:tabs>
              <w:autoSpaceDE w:val="0"/>
              <w:widowControl/>
              <w:spacing w:line="222" w:lineRule="exact" w:before="248" w:after="0"/>
              <w:ind w:left="9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moneys recieved by war of gift, bequest 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donation, subscription, contribution, fees or grants for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account of the Foundation shall be deposited in one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more public banks, as determined by the Board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to the credit of the Foundation.</w:t>
            </w:r>
          </w:p>
        </w:tc>
      </w:tr>
    </w:tbl>
    <w:p>
      <w:pPr>
        <w:autoSpaceDN w:val="0"/>
        <w:autoSpaceDE w:val="0"/>
        <w:widowControl/>
        <w:spacing w:line="222" w:lineRule="exact" w:before="162" w:after="11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established a depreciation fund and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sinking fund for the rehabilitation, development and </w:t>
      </w:r>
      <w:r>
        <w:rPr>
          <w:rFonts w:ascii="Times" w:hAnsi="Times" w:eastAsia="Times"/>
          <w:b w:val="0"/>
          <w:i w:val="0"/>
          <w:color w:val="000000"/>
          <w:sz w:val="20"/>
        </w:rPr>
        <w:t>improvement of the property.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0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796" w:val="left"/>
              </w:tabs>
              <w:autoSpaceDE w:val="0"/>
              <w:widowControl/>
              <w:spacing w:line="222" w:lineRule="exact" w:before="106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 shall be paid out of the Fund, all sum of money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are required to defray any expenditure incurred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Foundation in the exercise, performance and discharge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powers, duties and functions under the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Auditing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6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" w:val="left"/>
              </w:tabs>
              <w:autoSpaceDE w:val="0"/>
              <w:widowControl/>
              <w:spacing w:line="212" w:lineRule="exact" w:before="174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Foundation shall cause proper accounts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kept of its income and expenditure.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20" w:lineRule="exact" w:before="136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account or accounts shall be audited annually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auditor of the Foundation.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8" w:val="left"/>
              </w:tabs>
              <w:autoSpaceDE w:val="0"/>
              <w:widowControl/>
              <w:spacing w:line="266" w:lineRule="exact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year of the Foundation shall be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considered from the First (1st) of January to Thirty First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(31st) of December every year.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52" w:after="0"/>
              <w:ind w:left="78" w:right="69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Moneys paid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and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Foundaion</w:t>
            </w:r>
          </w:p>
        </w:tc>
      </w:tr>
      <w:tr>
        <w:trPr>
          <w:trHeight w:hRule="exact" w:val="1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" w:val="left"/>
                <w:tab w:pos="630" w:val="left"/>
              </w:tabs>
              <w:autoSpaceDE w:val="0"/>
              <w:widowControl/>
              <w:spacing w:line="220" w:lineRule="exact" w:before="146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the debs and liabilities shall be paid off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Corporation on the day immediately precding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commencement of this Act and the subscriptions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contributions shall be paid to the Corporation on the same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 for the purporses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68" w:val="left"/>
              </w:tabs>
              <w:autoSpaceDE w:val="0"/>
              <w:widowControl/>
              <w:spacing w:line="220" w:lineRule="exact" w:before="156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If upon the dissolution of he Foundaion there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remains after the satisfaction of all its debts and liabilities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peoperty whatsoever, such property shall not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distributed among the members of the Foundation.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remainig on</w:t>
            </w:r>
          </w:p>
        </w:tc>
      </w:tr>
      <w:tr>
        <w:trPr>
          <w:trHeight w:hRule="exact" w:val="5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14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Such properties and liabilities shall be returned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transferred to any other institution having objects similar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those of the Foundation, having no rules made in relation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distribution of any income or property among its members.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 shall be determined by the Board of Management prior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dissolution of the Foundaion.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9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9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Janaraja Foundation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758" w:val="left"/>
              </w:tabs>
              <w:autoSpaceDE w:val="0"/>
              <w:widowControl/>
              <w:spacing w:line="218" w:lineRule="exact" w:before="176" w:after="0"/>
              <w:ind w:left="10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Nothing in this Act contained shall prejudice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affect of the  Democratic Socialist Republic of Sri Lanka,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any body politic or of corporate or of any other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than the persons of this Act or their representatives,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or their claimants.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472"/>
        </w:trPr>
        <w:tc>
          <w:tcPr>
            <w:tcW w:type="dxa" w:w="43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872" w:right="576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Janaraja Foundation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  <w:tc>
          <w:tcPr>
            <w:tcW w:type="dxa" w:w="19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12" w:lineRule="exact" w:before="40" w:after="0"/>
        <w:ind w:left="0" w:right="32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