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6" w:lineRule="exact" w:before="32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34" w:lineRule="exact" w:before="366" w:after="0"/>
        <w:ind w:left="165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3"/>
        </w:rPr>
        <w:t>CONTEMPT OF A COURT, TRIBUNAL OR INSTITUTION</w:t>
      </w:r>
    </w:p>
    <w:p>
      <w:pPr>
        <w:autoSpaceDN w:val="0"/>
        <w:autoSpaceDE w:val="0"/>
        <w:widowControl/>
        <w:spacing w:line="332" w:lineRule="exact" w:before="308" w:after="0"/>
        <w:ind w:left="0" w:right="447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06" w:after="0"/>
        <w:ind w:left="0" w:right="42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2" w:lineRule="exact" w:before="206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uniform application of the law relating to the contempt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 court, tribunal or institution; to provide for the procedure in punishing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 contempt  of a court, tribunal or institution; and to provide for matters </w:t>
      </w:r>
      <w:r>
        <w:rPr>
          <w:rFonts w:ascii="Times" w:hAnsi="Times" w:eastAsia="Times"/>
          <w:b/>
          <w:i w:val="0"/>
          <w:color w:val="221F1F"/>
          <w:sz w:val="20"/>
        </w:rPr>
        <w:t>connected therewith or incidental thereto</w:t>
      </w:r>
    </w:p>
    <w:p>
      <w:pPr>
        <w:autoSpaceDN w:val="0"/>
        <w:autoSpaceDE w:val="0"/>
        <w:widowControl/>
        <w:spacing w:line="246" w:lineRule="exact" w:before="20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176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Constitutional </w:t>
      </w:r>
      <w:r>
        <w:rPr>
          <w:rFonts w:ascii="Times" w:hAnsi="Times" w:eastAsia="Times"/>
          <w:b w:val="0"/>
          <w:i/>
          <w:color w:val="221F1F"/>
          <w:sz w:val="20"/>
        </w:rPr>
        <w:t>Reforms on 18th of July, 2023</w:t>
      </w:r>
    </w:p>
    <w:p>
      <w:pPr>
        <w:autoSpaceDN w:val="0"/>
        <w:autoSpaceDE w:val="0"/>
        <w:widowControl/>
        <w:spacing w:line="268" w:lineRule="exact" w:before="156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June 27, 2023)</w:t>
      </w:r>
    </w:p>
    <w:p>
      <w:pPr>
        <w:autoSpaceDN w:val="0"/>
        <w:autoSpaceDE w:val="0"/>
        <w:widowControl/>
        <w:spacing w:line="244" w:lineRule="exact" w:before="172" w:after="126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568"/>
        </w:trPr>
        <w:tc>
          <w:tcPr>
            <w:tcW w:type="dxa" w:w="1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58" w:after="0"/>
              <w:ind w:left="1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[Bill No. 188]</w:t>
            </w:r>
          </w:p>
        </w:tc>
        <w:tc>
          <w:tcPr>
            <w:tcW w:type="dxa" w:w="4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————————</w:t>
            </w:r>
          </w:p>
        </w:tc>
      </w:tr>
    </w:tbl>
    <w:p>
      <w:pPr>
        <w:autoSpaceDN w:val="0"/>
        <w:tabs>
          <w:tab w:pos="2378" w:val="left"/>
          <w:tab w:pos="2604" w:val="left"/>
          <w:tab w:pos="5902" w:val="left"/>
        </w:tabs>
        <w:autoSpaceDE w:val="0"/>
        <w:widowControl/>
        <w:spacing w:line="242" w:lineRule="exact" w:before="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" w:hAnsi="Times" w:eastAsia="Times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362"/>
        </w:trPr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8" w:after="0"/>
              <w:ind w:left="12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 O. 55/2021</w:t>
      </w:r>
    </w:p>
    <w:p>
      <w:pPr>
        <w:autoSpaceDN w:val="0"/>
        <w:autoSpaceDE w:val="0"/>
        <w:widowControl/>
        <w:spacing w:line="254" w:lineRule="exact" w:before="252" w:after="0"/>
        <w:ind w:left="2036" w:right="2422" w:hanging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UNIFORM</w:t>
      </w:r>
      <w:r>
        <w:rPr>
          <w:rFonts w:ascii="Times" w:hAnsi="Times" w:eastAsia="Times"/>
          <w:b w:val="0"/>
          <w:i w:val="0"/>
          <w:color w:val="221F1F"/>
          <w:sz w:val="14"/>
        </w:rPr>
        <w:t>APPLICATION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LAW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RELATING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PROCEDURE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PUNISHING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CONTEMPT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COURT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TRIBUNAL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INSTITUTION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CONNECTED 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54" w:lineRule="exact" w:before="252" w:after="182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Contempt of a Court,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 Act, No.    of 2023.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0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objects of this Act shall be to:-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54" w:lineRule="exact" w:before="38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uphold the dignity and authority of a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 and institution;</w:t>
      </w:r>
    </w:p>
    <w:p>
      <w:pPr>
        <w:autoSpaceDN w:val="0"/>
        <w:autoSpaceDE w:val="0"/>
        <w:widowControl/>
        <w:spacing w:line="268" w:lineRule="exact" w:before="240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protect the due administration of justice;</w:t>
      </w:r>
    </w:p>
    <w:p>
      <w:pPr>
        <w:autoSpaceDN w:val="0"/>
        <w:autoSpaceDE w:val="0"/>
        <w:widowControl/>
        <w:spacing w:line="266" w:lineRule="exact" w:before="242" w:after="17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ensure adherence to judicial directives;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3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90" w:after="0"/>
              <w:ind w:left="736" w:right="1152" w:hanging="3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preserve and maintain the effectiveness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impartiality of a court, tribunal and institution;</w:t>
            </w:r>
          </w:p>
        </w:tc>
      </w:tr>
    </w:tbl>
    <w:p>
      <w:pPr>
        <w:autoSpaceDN w:val="0"/>
        <w:autoSpaceDE w:val="0"/>
        <w:widowControl/>
        <w:spacing w:line="266" w:lineRule="exact" w:before="184" w:after="18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safeguard public order, public health and morals;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90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72" w:after="0"/>
              <w:ind w:left="716" w:right="1202" w:hanging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strike a balance between the right of expression,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fair comment and compliance with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directives;</w:t>
            </w:r>
          </w:p>
        </w:tc>
      </w:tr>
    </w:tbl>
    <w:p>
      <w:pPr>
        <w:autoSpaceDN w:val="0"/>
        <w:tabs>
          <w:tab w:pos="2756" w:val="left"/>
        </w:tabs>
        <w:autoSpaceDE w:val="0"/>
        <w:widowControl/>
        <w:spacing w:line="254" w:lineRule="exact" w:before="182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set out with precision the ambit of contempt of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court, tribunal and institution; and</w:t>
      </w:r>
    </w:p>
    <w:p>
      <w:pPr>
        <w:autoSpaceDN w:val="0"/>
        <w:tabs>
          <w:tab w:pos="2756" w:val="left"/>
        </w:tabs>
        <w:autoSpaceDE w:val="0"/>
        <w:widowControl/>
        <w:spacing w:line="252" w:lineRule="exact" w:before="258" w:after="0"/>
        <w:ind w:left="24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ensure the observance of, and respect for,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due process of law.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7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Certain acts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court,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7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66" w:after="0"/>
              <w:ind w:left="10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Save as provided for in any other written law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the Constitution, any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commits an act or omission with intent to-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bring the authority of a court, tribunal and institution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administration of justice into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disrespect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disregard;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04" w:val="left"/>
        </w:tabs>
        <w:autoSpaceDE w:val="0"/>
        <w:widowControl/>
        <w:spacing w:line="248" w:lineRule="exact" w:before="184" w:after="164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interfere with, or cause prejudice to the judicial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process in relation to any ongoing litigation,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contempt of a court, tribunal or institution,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be.</w:t>
            </w:r>
          </w:p>
        </w:tc>
      </w:tr>
    </w:tbl>
    <w:p>
      <w:pPr>
        <w:autoSpaceDN w:val="0"/>
        <w:autoSpaceDE w:val="0"/>
        <w:widowControl/>
        <w:spacing w:line="246" w:lineRule="exact" w:before="162" w:after="164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Save as provided for in any other written law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the Constitution,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does any of the following acts commits contempt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tribunal or institution, as the case may be: 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2" w:after="0"/>
              <w:ind w:left="544" w:right="1256" w:hanging="346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willful disobedience to any judgment, decree,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direction, order, writ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other process of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institution;</w:t>
            </w:r>
          </w:p>
        </w:tc>
      </w:tr>
    </w:tbl>
    <w:p>
      <w:pPr>
        <w:autoSpaceDN w:val="0"/>
        <w:tabs>
          <w:tab w:pos="2304" w:val="left"/>
        </w:tabs>
        <w:autoSpaceDE w:val="0"/>
        <w:widowControl/>
        <w:spacing w:line="244" w:lineRule="exact" w:before="188" w:after="166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willful breach of an undertaking given to a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tribunal or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93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27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80" w:after="0"/>
              <w:ind w:left="544" w:right="1256" w:hanging="33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expressing, pronouncing or publishing any matter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that is not substantially true which, or doing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act which- 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scandalizes or lowers the judicial authority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dignity of a court, tribunal or institution;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prejudices, or interferes with, the due course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any judicial proceeding; or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interferes with, or obstructs the administration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justice;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53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  <w:tr>
        <w:trPr>
          <w:trHeight w:hRule="exact" w:val="6340"/>
        </w:trPr>
        <w:tc>
          <w:tcPr>
            <w:tcW w:type="dxa" w:w="1804"/>
            <w:vMerge/>
            <w:tcBorders/>
          </w:tcPr>
          <w:p/>
        </w:tc>
        <w:tc>
          <w:tcPr>
            <w:tcW w:type="dxa" w:w="5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836" w:right="1202" w:hanging="62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(i) use of any electronic device or other instrument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audio or visual recording or both in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tribunal or institution, or bringing into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tribunal or institution any such device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for the purpose of audio or visual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recording or both, without the leave of the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tribunal or institution already obtained; 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36" w:right="1202" w:hanging="37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publication or transmission of an audio or a visual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recording or both of a proceeding or part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 of a court, tribunal or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means of any electronic device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instrument, or any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recording derived directly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indirectly from such device or instrument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the leave of the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already obtained; or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38" w:right="1202" w:hanging="4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(iii) use of any electronic device or other instrument,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publication or transmission of an audio 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visual recording or both of a proceeding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tribunal or institution, in contravention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leave granted under sub-paragraph (i) or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(ii);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scandalizing a court, tribunal or institution, or a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5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 or judicial officer with intent to-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interfere with the due administration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5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justice;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excite dissatisfaction in the minds of the</w:t>
            </w:r>
          </w:p>
        </w:tc>
      </w:tr>
      <w:tr>
        <w:trPr>
          <w:trHeight w:hRule="exact" w:val="640"/>
        </w:trPr>
        <w:tc>
          <w:tcPr>
            <w:tcW w:type="dxa" w:w="1804"/>
            <w:vMerge/>
            <w:tcBorders/>
          </w:tcPr>
          <w:p/>
        </w:tc>
        <w:tc>
          <w:tcPr>
            <w:tcW w:type="dxa" w:w="5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public in regard to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institution; or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cast public suspicion on the administration</w:t>
            </w:r>
          </w:p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5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justice.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Defences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court,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19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272" w:after="0"/>
              <w:ind w:left="10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Any publication or expression of true facts made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good faith of a proceeding, judgment or order of a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tribunal or institution on a matter of public interest shall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deemed to be contempt of such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institution, where the risk of causing any impediment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prejudice to such proceeding, judgement or order is merely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incidental.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0" w:lineRule="exact" w:before="140" w:after="128"/>
        <w:ind w:left="19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2)  Any publication or expression-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1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94" w:after="0"/>
              <w:ind w:left="10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true and accurate facts of any case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before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made without malice or intention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impair the administration of justice; or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 the</w:t>
            </w:r>
          </w:p>
        </w:tc>
      </w:tr>
      <w:tr>
        <w:trPr>
          <w:trHeight w:hRule="exact" w:val="71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fair comments on merits of any action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 which has been heard and decided,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2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2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be deemed to be contempt of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where every attempt has been made to avoid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and such publication or expression has been done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bona fide.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provisions of subsections (1) and (2) shall not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construed as affecting or limiting any other valid defence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contempt of a court, tribunal or institution, contained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70" w:after="0"/>
              <w:ind w:left="8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Supreme Court and the Court of Appeal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the power to punish for contempt of itself, whether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in its presence or hearing or elsewhere. 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and the</w:t>
            </w:r>
          </w:p>
        </w:tc>
      </w:tr>
      <w:tr>
        <w:trPr>
          <w:trHeight w:hRule="exact" w:val="1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48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Where the Supreme Court or the Court of Appeal,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case may be, in the exercise of its jurisdiction as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(1), takes cognizance-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 to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court,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820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10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contempt of court committed in its presence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hearing, the Supreme Court or the Court of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hear and determine such matter in accordance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procedure set out in section 7; and 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18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court committed otherwise than in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presence or hearing, the Supreme Court or the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Appeal shall hear and determine such</w:t>
            </w:r>
          </w:p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 in accordance with the procedure set out in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8.</w:t>
            </w:r>
          </w:p>
        </w:tc>
      </w:tr>
    </w:tbl>
    <w:p>
      <w:pPr>
        <w:autoSpaceDN w:val="0"/>
        <w:autoSpaceDE w:val="0"/>
        <w:widowControl/>
        <w:spacing w:line="266" w:lineRule="exact" w:before="188" w:after="20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Court of Appeal shall have the power to punish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contempt of a Court of First Instance or tribunal or </w:t>
      </w:r>
      <w:r>
        <w:rPr>
          <w:rFonts w:ascii="Times" w:hAnsi="Times" w:eastAsia="Times"/>
          <w:b w:val="0"/>
          <w:i w:val="0"/>
          <w:color w:val="221F1F"/>
          <w:sz w:val="20"/>
        </w:rPr>
        <w:t>institution,</w:t>
      </w:r>
      <w:r>
        <w:rPr>
          <w:rFonts w:ascii="Times" w:hAnsi="Times" w:eastAsia="Times"/>
          <w:b w:val="0"/>
          <w:i w:val="0"/>
          <w:color w:val="221F1F"/>
          <w:sz w:val="20"/>
        </w:rPr>
        <w:t>whether committed in its presence or hearing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20"/>
        </w:rPr>
        <w:t>elsewhere: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provisions of this section shall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prejudice or affect the rights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First Instance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punish for contempt of itself. 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Where the Court of Appeal, in the exercise of its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as referred to in subsection (3), takes cognizance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a Court of First Instance, or tribunal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referred to in that subsection, the Court of Appeal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hear and determine such matter in accordance with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set out in section 9.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0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provisions of any other written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the Courts of First Instance shall have the power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of</w:t>
            </w:r>
          </w:p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First Instance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 for contempt of court committed in its presence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punish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 or in the course of proceedings in such Courts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Instance, or any act which is specified in this Act or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for the time being in force as being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punishable as contempt of court, subject to the provisions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this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Where any Court of First Instance takes cognizance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of court referred to in subsection (1), such Court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 shall hear and determine such matter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procedure set out in section 10.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0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is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face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Supreme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7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82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 it is alleged, or appears to the Supreme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Court of Appeal, as the case may be, that a person has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contempt of court in its presence or hearing,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Supreme Court or the Court of Appeal may-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such person to be detained in custody;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3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time before the rising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Supreme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the Court of Appeal, on the day on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of court is alleged to have been committed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 early as possible thereafter, cause a rule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on him, giving particulars in writing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of court with which he is charged;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a date for the hearing of the charge.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On the date fixed for the hearing of the charge,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charged with contempt of court shall be afforded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to make his defence to the charge.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8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The Supreme Court or the Court of Appeal, as the case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be, shall, after hearing the person charged with contempt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court and taking such evidence as may be necessary or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offered by such person, proceed either forthwith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such adjournment as the Supreme Court or the Court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think fit, to determine the charge and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for the punishment or discharge the person charged.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942" w:val="left"/>
        </w:tabs>
        <w:autoSpaceDE w:val="0"/>
        <w:widowControl/>
        <w:spacing w:line="254" w:lineRule="exact" w:before="194" w:after="18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Notwithstanding anything contained in the preceding </w:t>
      </w:r>
      <w:r>
        <w:rPr>
          <w:rFonts w:ascii="Times" w:hAnsi="Times" w:eastAsia="Times"/>
          <w:b w:val="0"/>
          <w:i w:val="0"/>
          <w:color w:val="221F1F"/>
          <w:sz w:val="20"/>
        </w:rPr>
        <w:t>provisions of this section, where-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charged with contempt of court under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applies, whether orally or in writing,</w:t>
            </w:r>
          </w:p>
        </w:tc>
      </w:tr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the charge against him tried by some Judge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Judges other than the Judge or Judges in whose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presence or hearing the contempt of court is alleged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been committed;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77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8" w:lineRule="exact" w:before="10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2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is of opinion that it is practicable to do so</w:t>
            </w:r>
          </w:p>
        </w:tc>
      </w:tr>
      <w:tr>
        <w:trPr>
          <w:trHeight w:hRule="exact" w:val="7090"/>
        </w:trPr>
        <w:tc>
          <w:tcPr>
            <w:tcW w:type="dxa" w:w="2255"/>
            <w:vMerge/>
            <w:tcBorders/>
          </w:tcPr>
          <w:p/>
        </w:tc>
        <w:tc>
          <w:tcPr>
            <w:tcW w:type="dxa" w:w="6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that in the interests of proper administration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justice the application should be allowed, 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78" w:right="1204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it shall cause the matter to be placed, together with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statement of the facts of the case, before the Chief Justice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directions as the Chief Justice may think fit to issue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respect to the trial of the charge.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anything contained 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at the trial of a person charged with 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subsection (1) which is held, in pursuance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direction issued under subsection (4), by a Judge or Judges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than the Judge or Judges in whose presence or hearing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contempt of court is alleged to have been committed,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statement of facts  placed before the Chief Justice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(4) by the Judge or Judges in whose presence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hearing the contempt of court is alleged to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committed shall be received in evidence, but no such Judge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Judges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summoned or examined  as a witness.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(6) The provisions of subsections (2) and (3)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mutatis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mutandis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but subject to the provisions of subsection (5),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apply to the hearing and determination of the charge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Judge or Judges other than the Judge or Judges in whose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presence or hearing the contempt of 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alleged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been committed, in pursuance of a direction issued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(4). </w:t>
            </w:r>
          </w:p>
        </w:tc>
      </w:tr>
    </w:tbl>
    <w:p>
      <w:pPr>
        <w:autoSpaceDN w:val="0"/>
        <w:autoSpaceDE w:val="0"/>
        <w:widowControl/>
        <w:spacing w:line="254" w:lineRule="exact" w:before="218" w:after="192"/>
        <w:ind w:left="1798" w:right="2424" w:firstLine="240"/>
        <w:jc w:val="both"/>
      </w:pPr>
      <w:r>
        <w:rPr>
          <w:rFonts w:ascii="Times" w:hAnsi="Times" w:eastAsia="Times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7)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Supreme court or the Court of Appeal,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be,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that the person charged with contempt of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under this section be detained in such custody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such court may specify; or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Procedure</w:t>
            </w:r>
          </w:p>
        </w:tc>
      </w:tr>
      <w:tr>
        <w:trPr>
          <w:trHeight w:hRule="exact" w:val="51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release him on bail subject to such conditions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uch Court may deem fit to impose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8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Supreme Court or the Court of Appeal, as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where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be, may take cognizance of contempt of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contempt of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against it, or in disrespect of its authority,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is not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contempt of court committed in its presence or hearing,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face of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Supreme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 the</w:t>
            </w:r>
          </w:p>
        </w:tc>
      </w:tr>
      <w:tr>
        <w:trPr>
          <w:trHeight w:hRule="exact" w:val="8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 own motion;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</w:t>
            </w:r>
          </w:p>
        </w:tc>
      </w:tr>
      <w:tr>
        <w:trPr>
          <w:trHeight w:hRule="exact" w:val="5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any other person.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204" w:after="204"/>
        <w:ind w:left="1702" w:right="25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(2)</w:t>
      </w:r>
      <w:r>
        <w:rPr>
          <w:rFonts w:ascii="Times" w:hAnsi="Times" w:eastAsia="Times"/>
          <w:b w:val="0"/>
          <w:i w:val="0"/>
          <w:color w:val="221F1F"/>
          <w:sz w:val="20"/>
        </w:rPr>
        <w:t>Every motion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filed under subsection (1) shall set out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particulars of the contempt of court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by the person alleged to have committed the </w:t>
      </w:r>
      <w:r>
        <w:rPr>
          <w:rFonts w:ascii="Times" w:hAnsi="Times" w:eastAsia="Times"/>
          <w:b w:val="0"/>
          <w:i w:val="0"/>
          <w:color w:val="221F1F"/>
          <w:sz w:val="20"/>
        </w:rPr>
        <w:t>contempt of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5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3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6" w:lineRule="exact" w:before="13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Supreme Court or the Court of Appeal,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shall, after pursuing the motion filed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 and satisfying itself that 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of 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has been established against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to have committed such contempt-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rule to be issued on such person, giving</w:t>
            </w:r>
          </w:p>
        </w:tc>
      </w:tr>
      <w:tr>
        <w:trPr>
          <w:trHeight w:hRule="exact" w:val="6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particulars in writing of the contempt of court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he is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charged;</w:t>
            </w:r>
          </w:p>
        </w:tc>
      </w:tr>
      <w:tr>
        <w:trPr>
          <w:trHeight w:hRule="exact" w:val="414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that such rule, together with a copy of the</w:t>
            </w:r>
          </w:p>
        </w:tc>
      </w:tr>
      <w:tr>
        <w:trPr>
          <w:trHeight w:hRule="exact" w:val="646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motion filed under subsection (1), be served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personally on such person; and 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a date for the hearing of the charge.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  <w:tr>
        <w:trPr>
          <w:trHeight w:hRule="exact" w:val="3174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 On the date fixed for the hearing of the charge,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charged with contempt of court shall be afforded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opportunity to make his defence to the charge and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entitled to file an affidavit or to adduce evidence in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defence. </w:t>
            </w:r>
          </w:p>
          <w:p>
            <w:pPr>
              <w:autoSpaceDN w:val="0"/>
              <w:autoSpaceDE w:val="0"/>
              <w:widowControl/>
              <w:spacing w:line="260" w:lineRule="exact" w:before="258" w:after="0"/>
              <w:ind w:left="7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Supreme Court or the Court of Appeal,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shall hear and determine the charge after considering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affidavit filed by the person charged with 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or after hearing the evidence adduced by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be.</w:t>
            </w:r>
          </w:p>
        </w:tc>
      </w:tr>
    </w:tbl>
    <w:p>
      <w:pPr>
        <w:autoSpaceDN w:val="0"/>
        <w:autoSpaceDE w:val="0"/>
        <w:widowControl/>
        <w:spacing w:line="260" w:lineRule="exact" w:before="196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section, the Supreme Court or the Court of Appeal, as the </w:t>
      </w:r>
      <w:r>
        <w:rPr>
          <w:rFonts w:ascii="Times" w:hAnsi="Times" w:eastAsia="Times"/>
          <w:b w:val="0"/>
          <w:i w:val="0"/>
          <w:color w:val="221F1F"/>
          <w:sz w:val="20"/>
        </w:rPr>
        <w:t>case may be, may direct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charged with contempt of court under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94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exercise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jurisdiction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Appeal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respect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against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Court of First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Instance,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 be detained in such custody as it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specify; or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be released on bail subject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it may deem fit to impose.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Court of Appeal may take cognizance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committed against, or in disrespect of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of, a Court of First Instance or tribunal or an institution on-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reference made to it by such Court of First Instance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motion filed by the Attorney-General;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motion filed by any other person. 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6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Every reference made or motion filed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set out the particulars of the contempt of the court,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autoSpaceDE w:val="0"/>
        <w:widowControl/>
        <w:spacing w:line="250" w:lineRule="exact" w:before="478" w:after="154"/>
        <w:ind w:left="170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tribunal or institution as the case may be</w:t>
      </w:r>
      <w:r>
        <w:rPr>
          <w:rFonts w:ascii="Times" w:hAnsi="Times" w:eastAsia="Times"/>
          <w:b/>
          <w:i w:val="0"/>
          <w:color w:val="221F1F"/>
          <w:sz w:val="20"/>
        </w:rPr>
        <w:t>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alleged to have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committed by the person alleged to have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>such contempt</w:t>
      </w:r>
      <w:r>
        <w:rPr>
          <w:rFonts w:ascii="Times" w:hAnsi="Times" w:eastAsia="Times"/>
          <w:b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67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1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23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14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78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The Court of Appeal shall, after perusing the reference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 or the motion filed under subsection (1), as the case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be, and satisfying itself that 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prima facie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court, tribunal or institution, as the case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has been established against the person alleged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such contempt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cause a rule to be issued on such person, giving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8" w:after="0"/>
              <w:ind w:left="7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particulars in writing of the contempt of court,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institution, with which he is charged;</w:t>
            </w:r>
          </w:p>
        </w:tc>
      </w:tr>
      <w:tr>
        <w:trPr>
          <w:trHeight w:hRule="exact" w:val="62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8" w:after="0"/>
              <w:ind w:left="1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 that such rule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together with a copy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reference or motion made or filed under subsection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(1), be served personally on such person; and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fix a date for the hearing of the charge.</w:t>
            </w:r>
          </w:p>
        </w:tc>
      </w:tr>
      <w:tr>
        <w:trPr>
          <w:trHeight w:hRule="exact" w:val="2682"/>
        </w:trPr>
        <w:tc>
          <w:tcPr>
            <w:tcW w:type="dxa" w:w="3007"/>
            <w:vMerge/>
            <w:tcBorders/>
          </w:tcPr>
          <w:p/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42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 On the date fixed for the hearing of the charge,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charged with contempt of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afforded an opportunity to make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defence to the charge and shall be entitled to file an affidavit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adduce evidence in his defence.</w:t>
            </w:r>
          </w:p>
          <w:p>
            <w:pPr>
              <w:autoSpaceDN w:val="0"/>
              <w:autoSpaceDE w:val="0"/>
              <w:widowControl/>
              <w:spacing w:line="248" w:lineRule="exact" w:before="248" w:after="0"/>
              <w:ind w:left="64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The Court of Appeal shall hear and determine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charge after considering the affidavit filed by the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charged with 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contempt or after hearing the evidence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adduced by such person, as the case may be.</w:t>
            </w:r>
          </w:p>
        </w:tc>
      </w:tr>
    </w:tbl>
    <w:p>
      <w:pPr>
        <w:autoSpaceDN w:val="0"/>
        <w:tabs>
          <w:tab w:pos="1944" w:val="left"/>
        </w:tabs>
        <w:autoSpaceDE w:val="0"/>
        <w:widowControl/>
        <w:spacing w:line="250" w:lineRule="exact" w:before="184" w:after="168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Pending the determination of a charge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>section, the Court of Appeal may direct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person charged with contempt of a court,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tribunal or institution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section be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detained in such custody as it may specify;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68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4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Procedure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exercise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jurisdiction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conferred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Courts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First Instance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try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</w:t>
            </w:r>
          </w:p>
        </w:tc>
      </w:tr>
      <w:tr>
        <w:trPr>
          <w:trHeight w:hRule="exact" w:val="494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be released on bail subject to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it may deem fit to impose.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8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First Instance takes cognizance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contempt of court committed against, or in disrespect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 of,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Court of First Instance, such Court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subject to the provisions of subsections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and (3), hear and determine such matter in accordance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procedure set out in Chapter LXV of the Civil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Code.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Where the Judge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Court of First Instance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Punishment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 acts under section 795 of the Civil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Procedure Code,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uch Judge shall inquire from the accused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he wishes to be tried by a judge other than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 in whose presence or hearing the contempt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to have been committed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. 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If the accused indicates to the Judge of such Court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Instance, in response to the inquiry under subsection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(2), orally or in writing, that he wishes to be tried by a Judge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than the Judge in whose presence or hearing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 of court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alleged to have been committed,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Judge shall cause the matter to be placed, together with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minutes of the facts recorded by such Judge, before the Chief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for such directions as the Chief Justice may think fit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issue with regard to the hearing of the charge. 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Where a person is found guilty of the contempt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referred to in subsection (1) of section 5, such person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contempt</w:t>
            </w:r>
          </w:p>
        </w:tc>
      </w:tr>
      <w:tr>
        <w:trPr>
          <w:trHeight w:hRule="exact" w:val="7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court,</w:t>
            </w:r>
          </w:p>
        </w:tc>
      </w:tr>
      <w:tr>
        <w:trPr>
          <w:trHeight w:hRule="exact" w:val="11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liable to a fine not exceeding rupees five hundred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tribunal or</w:t>
            </w:r>
          </w:p>
        </w:tc>
      </w:tr>
      <w:tr>
        <w:trPr>
          <w:trHeight w:hRule="exact" w:val="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thousand or to simple imprisonment for a period not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year or to both such fine and imprisonment,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on a second or subsequent conviction, such person shall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 to a fine not exceeding rupees one million or 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simple imprisonment for a period not exceeding two years,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 such fine and imprisonment.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1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8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8" w:lineRule="exact" w:before="13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</w:tr>
      <w:tr>
        <w:trPr>
          <w:trHeight w:hRule="exact" w:val="9590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5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Where a person is found guilty of the 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 referred to in subsection (1) of section 6,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liable to a fine not exceeding rupees three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or to simple imprisonment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six months or to both such fine and imprisonment,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on a second or subsequent conviction, such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liable to a fine not exceeding rupees five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thousand or to simple imprisonment for a period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one year, or to both such fine and imprisonment.</w:t>
            </w:r>
          </w:p>
          <w:p>
            <w:pPr>
              <w:autoSpaceDN w:val="0"/>
              <w:autoSpaceDE w:val="0"/>
              <w:widowControl/>
              <w:spacing w:line="260" w:lineRule="exact" w:before="262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Where a person is found guilty of contempt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tribunal or institution under this Act, such person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liable to a fine not exceeding rupees one hundred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to simple imprisonment for a period not exceeding three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months or to both such fine and imprisonment, and on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second or subsequent conviction, such person shall be liable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a fine not exceeding rupees three hundred thousand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simple imprisonment for a period not exceeding six months,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to both such fine and imprisonment.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 Notwithstanding the provisions of subsection (1), (2)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(3), a person accused of contempt of a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institution under this Act may be discharged,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punishment imposed on him may be remitted on an apology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being made to the satisfaction of the court, tribunal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1522" w:right="1258" w:hanging="12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Explanation - An apology shall not be rejected merely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the ground that it is qualified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conditional if the accused makes it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bona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fide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(5) Nothing in this Act shall limit the power of a court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hear and determine contempt of a court, tribunal or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for in any other written law, either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this Act or such other law: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4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6" w:lineRule="exact" w:before="468" w:after="16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notwithstanding anything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such other law, a court shall not impose a sentence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excess of the sentence specified in this section for </w:t>
      </w:r>
      <w:r>
        <w:rPr>
          <w:rFonts w:ascii="Times" w:hAnsi="Times" w:eastAsia="Times"/>
          <w:b w:val="0"/>
          <w:i w:val="0"/>
          <w:color w:val="221F1F"/>
          <w:sz w:val="20"/>
        </w:rPr>
        <w:t>contempt of a court, tribunal or institution.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92" w:after="0"/>
              <w:ind w:left="7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An appeal shall lie as of right from any order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 of the Court of Appeal in the exercise of its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Appeals</w:t>
            </w:r>
          </w:p>
        </w:tc>
      </w:tr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jurisdiction to punish for contempt of a Court of First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Instance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tribunal or institution, as the case may be–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order or decision is that of a single judge,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Bench of not less than two judges of the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Appeal;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order or decision is that of a Bench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Appeal, to the Supreme Court.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The Supreme Court or the Court of Appeal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pending any appeal, order that–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execution of the punishment, or the order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appealed against be suspended; 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appellant, if 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confinement, be released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bail;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appeal be heard notwithstanding that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appellant has not purged his contempt.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 Where any person who is aggrieved by any order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decision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of First Instance, against which an appeal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filed, indicates to such Court of First Instance that 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intends to prefer an appeal against such order or decision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of Appeal, such Court of First Instance shall, until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expiry of the time limit for the filing of the appeal, order–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6" w:lineRule="exact" w:before="176" w:after="0"/>
        <w:ind w:left="2304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execution of the punishment, or the order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decision</w:t>
      </w:r>
      <w:r>
        <w:rPr>
          <w:rFonts w:ascii="Times" w:hAnsi="Times" w:eastAsia="Times"/>
          <w:b w:val="0"/>
          <w:i w:val="0"/>
          <w:color w:val="221F1F"/>
          <w:sz w:val="20"/>
        </w:rPr>
        <w:t>appealed against be suspended;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tabs>
          <w:tab w:pos="2644" w:val="left"/>
        </w:tabs>
        <w:autoSpaceDE w:val="0"/>
        <w:widowControl/>
        <w:spacing w:line="254" w:lineRule="exact" w:before="470" w:after="178"/>
        <w:ind w:left="22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appellant, if he is in confinement, be released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bail.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 court shall not initiate any proceedings in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Period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contempt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court,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relation to contempt of a court, tribunal or institution, either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its own motion or otherwise, after the expiry of a period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one year from the date on which the contempt is alleged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have been committed.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A tribunal or institution shall not refer to the Court 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61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Contempt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court,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tribunal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Appeal any matter relating to the contempt of such 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institution, after the expiry of a period of one year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contempt is alleged to have been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contempt of a court, tribunal or institution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7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committed by a body of persons, then-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that body of persons is a body corporate, every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director, manager or secretary of that body corporate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0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the time of the commission of such contempt;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if that body of persons is a firm, every partner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firm at the time of the commission of such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contempt;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92" w:after="0"/>
        <w:ind w:left="2422" w:right="2516" w:hanging="36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if that body of persons is an unincorporated body,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every individual who is a member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unincorporated body at the time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contempt,</w:t>
      </w:r>
    </w:p>
    <w:p>
      <w:pPr>
        <w:autoSpaceDN w:val="0"/>
        <w:tabs>
          <w:tab w:pos="1702" w:val="left"/>
        </w:tabs>
        <w:autoSpaceDE w:val="0"/>
        <w:widowControl/>
        <w:spacing w:line="294" w:lineRule="exact" w:before="18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deemed to have committed that contempt:</w:t>
      </w:r>
    </w:p>
    <w:p>
      <w:pPr>
        <w:autoSpaceDN w:val="0"/>
        <w:autoSpaceDE w:val="0"/>
        <w:widowControl/>
        <w:spacing w:line="254" w:lineRule="exact" w:before="25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any director, manager or secretary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body corporate or any partner of such firm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in such unincorporated body shall not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>to have committed such contempt if he proves to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4" w:lineRule="exact" w:before="0" w:after="0"/>
        <w:ind w:left="240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Contempt of a Court,Tribunal or Institution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74" w:lineRule="exact" w:before="460" w:after="22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such contempt was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his knowledge or that he exercised all due diligence </w:t>
      </w:r>
      <w:r>
        <w:rPr>
          <w:rFonts w:ascii="Times" w:hAnsi="Times" w:eastAsia="Times"/>
          <w:b w:val="0"/>
          <w:i w:val="0"/>
          <w:color w:val="221F1F"/>
          <w:sz w:val="20"/>
        </w:rPr>
        <w:t>to prevent the commission of such contempt.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2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provisions of this Act shall have effect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This Act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over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 law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anything to the contrary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contained in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and accordingly, in the event of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2" w:lineRule="exact" w:before="0" w:after="21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inconsistency between the provisions of this Act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other law,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7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98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Act, unless the context otherwise requires –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Interpretation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“Civil Procedure Code” means, the Civil Procedure Code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4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(Chapter 101); </w:t>
      </w:r>
    </w:p>
    <w:p>
      <w:pPr>
        <w:autoSpaceDN w:val="0"/>
        <w:autoSpaceDE w:val="0"/>
        <w:widowControl/>
        <w:spacing w:line="274" w:lineRule="exact" w:before="272" w:after="2"/>
        <w:ind w:left="25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“Court of First Instance” means, the High Court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Republic of Sri Lanka, the High Court for a Province </w:t>
      </w:r>
      <w:r>
        <w:rPr>
          <w:rFonts w:ascii="Times" w:hAnsi="Times" w:eastAsia="Times"/>
          <w:b w:val="0"/>
          <w:i w:val="0"/>
          <w:color w:val="221F1F"/>
          <w:sz w:val="20"/>
        </w:rPr>
        <w:t>established by Article 154</w:t>
      </w:r>
      <w:r>
        <w:rPr>
          <w:rFonts w:ascii="Times" w:hAnsi="Times" w:eastAsia="Times"/>
          <w:b w:val="0"/>
          <w:i w:val="0"/>
          <w:color w:val="221F1F"/>
          <w:sz w:val="14"/>
        </w:rPr>
        <w:t>P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Constitution,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District Court, the Family Court, the Small Claims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Court, the Magistrate’s Court 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Primary Court;</w:t>
            </w:r>
          </w:p>
        </w:tc>
      </w:tr>
    </w:tbl>
    <w:p>
      <w:pPr>
        <w:autoSpaceDN w:val="0"/>
        <w:autoSpaceDE w:val="0"/>
        <w:widowControl/>
        <w:spacing w:line="274" w:lineRule="exact" w:before="216" w:after="2"/>
        <w:ind w:left="2516" w:right="2304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“institution” means, an institution created and established </w:t>
      </w:r>
      <w:r>
        <w:rPr>
          <w:rFonts w:ascii="Times" w:hAnsi="Times" w:eastAsia="Times"/>
          <w:b w:val="0"/>
          <w:i w:val="0"/>
          <w:color w:val="221F1F"/>
          <w:sz w:val="20"/>
        </w:rPr>
        <w:t>for the administration of justice and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0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54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adjudication and settlement of industrial and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disputes;</w:t>
            </w:r>
          </w:p>
        </w:tc>
      </w:tr>
    </w:tbl>
    <w:p>
      <w:pPr>
        <w:autoSpaceDN w:val="0"/>
        <w:autoSpaceDE w:val="0"/>
        <w:widowControl/>
        <w:spacing w:line="274" w:lineRule="exact" w:before="214" w:after="4"/>
        <w:ind w:left="2516" w:right="242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“publish” means, to disseminate, distribute, exhibit,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or communicate by oral, visual, written,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electronic or other means including by way of </w:t>
      </w:r>
      <w:r>
        <w:rPr>
          <w:rFonts w:ascii="Times" w:hAnsi="Times" w:eastAsia="Times"/>
          <w:b w:val="0"/>
          <w:i w:val="0"/>
          <w:color w:val="221F1F"/>
          <w:sz w:val="20"/>
        </w:rPr>
        <w:t>newspaper, radio, television or through the use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internet or other online communication system,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public at large or a member of the public, and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includes causing to be published, and “publication”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to be construed accordingly;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29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Contempt of a Court,Tribunal or Institution</w:t>
      </w:r>
    </w:p>
    <w:p>
      <w:pPr>
        <w:autoSpaceDN w:val="0"/>
        <w:autoSpaceDE w:val="0"/>
        <w:widowControl/>
        <w:spacing w:line="260" w:lineRule="exact" w:before="464" w:after="194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“tribunal” means, a tribunal created and established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of justice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adjudication and settlement of industrial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disputes.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8.0" w:type="dxa"/>
      </w:tblPr>
      <w:tblGrid>
        <w:gridCol w:w="4510"/>
        <w:gridCol w:w="4510"/>
      </w:tblGrid>
      <w:tr>
        <w:trPr>
          <w:trHeight w:hRule="exact" w:val="9452"/>
        </w:trPr>
        <w:tc>
          <w:tcPr>
            <w:tcW w:type="dxa" w:w="47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9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Contempt of a Court,Tribunal or Institution</w:t>
            </w:r>
          </w:p>
        </w:tc>
        <w:tc>
          <w:tcPr>
            <w:tcW w:type="dxa" w:w="147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14" w:lineRule="exact" w:before="38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