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478" w:lineRule="exact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Part II of July 14, 2023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/>
          <w:color w:val="221F1F"/>
          <w:sz w:val="24"/>
        </w:rPr>
        <w:t>(Issued on 19. 07. 2023)</w:t>
      </w:r>
    </w:p>
    <w:p>
      <w:pPr>
        <w:autoSpaceDN w:val="0"/>
        <w:autoSpaceDE w:val="0"/>
        <w:widowControl/>
        <w:spacing w:line="240" w:lineRule="auto" w:before="3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406" w:after="0"/>
        <w:ind w:left="0" w:right="239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648" w:lineRule="exact" w:before="32" w:after="0"/>
        <w:ind w:left="4176" w:right="403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20" w:lineRule="exact" w:before="362" w:after="0"/>
        <w:ind w:left="0" w:right="246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Inland Revenue  Act, No. 24 of 2017</w:t>
      </w:r>
    </w:p>
    <w:p>
      <w:pPr>
        <w:autoSpaceDN w:val="0"/>
        <w:autoSpaceDE w:val="0"/>
        <w:widowControl/>
        <w:spacing w:line="240" w:lineRule="exact" w:before="410" w:after="222"/>
        <w:ind w:left="1440" w:right="129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Economic Stabilization </w:t>
      </w:r>
      <w:r>
        <w:rPr>
          <w:rFonts w:ascii="Times" w:hAnsi="Times" w:eastAsia="Times"/>
          <w:b w:val="0"/>
          <w:i/>
          <w:color w:val="221F1F"/>
          <w:sz w:val="20"/>
        </w:rPr>
        <w:t>and National Policies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7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728" w:right="1584" w:firstLine="0"/>
              <w:jc w:val="center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SRI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LANKA </w:t>
            </w:r>
            <w:r>
              <w:br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7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6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60"/>
        </w:trPr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0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494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the First Schedule of the Inland Revenue Act, No. 24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2017 and the legal effect of that Schedule as amended is to increase the income tax rate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applicable to the Employees Trust Fund, an approved provident or pension fund, or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termination fund up to 30% and the income tax rate applicable to the funds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effectively participate in the process of domestic debt optimization to continue </w:t>
      </w:r>
      <w:r>
        <w:rPr>
          <w:rFonts w:ascii="Times" w:hAnsi="Times" w:eastAsia="Times"/>
          <w:b w:val="0"/>
          <w:i w:val="0"/>
          <w:color w:val="221F1F"/>
          <w:sz w:val="16"/>
        </w:rPr>
        <w:t>as 14%.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5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45/2023</w:t>
      </w:r>
    </w:p>
    <w:p>
      <w:pPr>
        <w:autoSpaceDN w:val="0"/>
        <w:autoSpaceDE w:val="0"/>
        <w:widowControl/>
        <w:spacing w:line="268" w:lineRule="exact" w:before="182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50" w:lineRule="exact" w:before="244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38" w:lineRule="exact" w:before="10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Inland Revenue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operation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shall be deemed to have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come into operation on April 1,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Inland Revenue Act, No.24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2017 is hereby amended by the repeal of paragraph 8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 and the substitution therefor,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24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2017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58"/>
        <w:ind w:left="2518" w:right="2422" w:firstLine="300"/>
        <w:jc w:val="both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“8. Tax rate for Employees Trust Funds,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Provident, Pension or Gratuity Funds and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Termination Funds.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02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97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438" w:right="120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taxable income of the Employees Trust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Fund, an approved provident or pension fund,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approved termination fund for a year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commencing on or prior to April 1,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for the first six months period of the year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commencing on April 1, 2023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taxed at the rate of 14%.</w:t>
            </w:r>
          </w:p>
          <w:p>
            <w:pPr>
              <w:autoSpaceDN w:val="0"/>
              <w:autoSpaceDE w:val="0"/>
              <w:widowControl/>
              <w:spacing w:line="248" w:lineRule="exact" w:before="248" w:after="0"/>
              <w:ind w:left="438" w:right="120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Subject to subparagraphs (3) and (4),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taxable income of the Employees Trust Fund,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provident or pension fund or an approved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termination fund for the second six months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year of assessment commencing on April 1,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2023 and for each year of assessment commencing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or after April 1, 2024, shall be taxed at the 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14%.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2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78" w:after="0"/>
              <w:ind w:left="322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Such part of the gains and profits received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derived by the Employees Trust Fund,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provident or pension fund or an approved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termination fund from treasury bonds, for the second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 months period of the year of assessment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April 1, 2023 and for each year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commencing on or after April 1, 2024,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taxed at the rate of 30%.</w:t>
            </w:r>
          </w:p>
        </w:tc>
      </w:tr>
      <w:tr>
        <w:trPr>
          <w:trHeight w:hRule="exact" w:val="10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322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provisions of subparagraph (3), 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Trust Fund, an approved provident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pension fund or an approved termination fund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invested in eligible bonds, and the Registrar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Debt Department of the Central Bank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confirms that any such fund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effectively participated in the process of domestic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debt optimization approved by the Parliament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Resolution dated July 1, 2023, such part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gains and profits received or derived by such funds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treasury bonds, for the second six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the year of assessment commencing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April 1, 2023 and for each year of assessment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or after April 1, 2024 shall be taxed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rate of 14%.</w:t>
            </w:r>
          </w:p>
        </w:tc>
      </w:tr>
      <w:tr>
        <w:trPr>
          <w:trHeight w:hRule="exact" w:val="1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In this paragraph -</w:t>
            </w:r>
          </w:p>
        </w:tc>
      </w:tr>
      <w:tr>
        <w:trPr>
          <w:trHeight w:hRule="exact" w:val="17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4" w:val="left"/>
                <w:tab w:pos="2474" w:val="left"/>
                <w:tab w:pos="3616" w:val="left"/>
                <w:tab w:pos="4132" w:val="left"/>
              </w:tabs>
              <w:autoSpaceDE w:val="0"/>
              <w:widowControl/>
              <w:spacing w:line="234" w:lineRule="exact" w:before="136" w:after="0"/>
              <w:ind w:left="11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“approved termination fund” means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thrift, savings or building society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welfare fund to which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contributions are made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only or, any gratuity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maintained for the purpose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payment of gratuities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on the termination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service, under the Payment</w:t>
            </w:r>
          </w:p>
        </w:tc>
      </w:tr>
      <w:tr>
        <w:trPr>
          <w:trHeight w:hRule="exact" w:val="9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Gratuity Act, No. 12 of 1983;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91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590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878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“effectively participated”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submission of offers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Trust Fund,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provident or pension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 or an approved termination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 for not less than 50%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total holding of each series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eligible bonds maturing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2023, and for 100%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total holding of eligible bonds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maturing in the calendar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2024 to 2032 (both inclusive)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acceptance of such offers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Registrar of the Public Debt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of the Central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878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“eligible bonds” means the treasury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bonds applicable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domestic debt optimization,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under the 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Stocks and Securities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420) that are-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maturing between June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5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28, 2023 and December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31, 2023 (excluding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 bonds maturing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July 15, 2023);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maturing in the calendar</w:t>
            </w:r>
          </w:p>
        </w:tc>
      </w:tr>
      <w:tr>
        <w:trPr>
          <w:trHeight w:hRule="exact" w:val="1938"/>
        </w:trPr>
        <w:tc>
          <w:tcPr>
            <w:tcW w:type="dxa" w:w="2255"/>
            <w:vMerge/>
            <w:tcBorders/>
          </w:tcPr>
          <w:p/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5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years 2024 to 2032 (both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inclusive).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436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other provision of this Act, where any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in this paragraph uses accounts based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alternative period of twelve months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computation of the income tax payable for the year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0" w:lineRule="exact" w:before="518" w:after="15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assessment commencing on April 1, 2023,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tax rates set out in this paragraph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for such year of assessment by considering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alternative period of twelve months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3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510"/>
        <w:gridCol w:w="4510"/>
      </w:tblGrid>
      <w:tr>
        <w:trPr>
          <w:trHeight w:hRule="exact" w:val="9328"/>
        </w:trPr>
        <w:tc>
          <w:tcPr>
            <w:tcW w:type="dxa" w:w="449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