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300" w:after="0"/>
        <w:ind w:left="0" w:right="329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28, 2023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2" w:lineRule="exact" w:before="240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28. 07. 2023)</w:t>
      </w:r>
    </w:p>
    <w:p>
      <w:pPr>
        <w:autoSpaceDN w:val="0"/>
        <w:autoSpaceDE w:val="0"/>
        <w:widowControl/>
        <w:spacing w:line="240" w:lineRule="auto" w:before="27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exact" w:before="346" w:after="0"/>
        <w:ind w:left="2304" w:right="216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SRI LANKA PORTS AUTHORITY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332" w:lineRule="exact" w:before="13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1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0" w:lineRule="exact" w:before="186" w:after="0"/>
        <w:ind w:left="2880" w:right="273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Sri Lanka Ports Authority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>Act, No. 51 of 1979</w:t>
      </w:r>
    </w:p>
    <w:p>
      <w:pPr>
        <w:autoSpaceDN w:val="0"/>
        <w:autoSpaceDE w:val="0"/>
        <w:widowControl/>
        <w:spacing w:line="244" w:lineRule="exact" w:before="160" w:after="0"/>
        <w:ind w:left="162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Ports, Shipping and Aviation</w:t>
      </w:r>
    </w:p>
    <w:p>
      <w:pPr>
        <w:autoSpaceDN w:val="0"/>
        <w:autoSpaceDE w:val="0"/>
        <w:widowControl/>
        <w:spacing w:line="212" w:lineRule="exact" w:before="24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76" w:lineRule="exact" w:before="170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28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5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 of the Sri Lanka Ports Authority Act, No. 51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1979, and the legal effect of that section as amended is to increase the number of members </w:t>
      </w:r>
      <w:r>
        <w:rPr>
          <w:rFonts w:ascii="Times" w:hAnsi="Times" w:eastAsia="Times"/>
          <w:b w:val="0"/>
          <w:i w:val="0"/>
          <w:color w:val="221F1F"/>
          <w:sz w:val="16"/>
        </w:rPr>
        <w:t>of the Board of Directors of the Ports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Ports Authority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30" w:val="left"/>
          <w:tab w:pos="3396" w:val="left"/>
        </w:tabs>
        <w:autoSpaceDE w:val="0"/>
        <w:widowControl/>
        <w:spacing w:line="360" w:lineRule="exact" w:before="300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L.D.-O. 4/2023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6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28" w:lineRule="exact" w:before="110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This Act may be cited as the Sri Lanka Ports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6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9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5 of the Sri Lanka Ports Authority Act, No. 51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1979, is hereby amended in subsection (1) thereof,  as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Act, No.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of 1979</w:t>
            </w:r>
          </w:p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substitution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“Customs; and”,  of the words “Customs;”;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“by such Minister.”,  of the words “by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Minister; and”;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representative of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Ports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Shipping, nominated by such Minister.”.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28" w:lineRule="exact" w:before="158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78"/>
        </w:trPr>
        <w:tc>
          <w:tcPr>
            <w:tcW w:type="dxa" w:w="8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Ports Authority (Amendment)</w:t>
            </w:r>
          </w:p>
        </w:tc>
      </w:tr>
    </w:tbl>
    <w:p>
      <w:pPr>
        <w:autoSpaceDN w:val="0"/>
        <w:autoSpaceDE w:val="0"/>
        <w:widowControl/>
        <w:spacing w:line="150" w:lineRule="exact" w:before="14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