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84" w:lineRule="exact" w:before="412" w:after="0"/>
        <w:ind w:left="1440" w:right="1584" w:firstLine="0"/>
        <w:jc w:val="center"/>
      </w:pPr>
      <w:r>
        <w:rPr>
          <w:rFonts w:ascii="Times" w:hAnsi="Times" w:eastAsia="Times"/>
          <w:b/>
          <w:i w:val="0"/>
          <w:color w:val="221F1F"/>
          <w:sz w:val="32"/>
        </w:rPr>
        <w:t xml:space="preserve">PARLIAMENT  OF  THE  DEMOCRATIC </w:t>
      </w:r>
      <w:r>
        <w:rPr>
          <w:rFonts w:ascii="Times" w:hAnsi="Times" w:eastAsia="Times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" w:hAnsi="Times" w:eastAsia="Times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44" w:lineRule="exact" w:before="184" w:after="0"/>
        <w:ind w:left="0" w:right="384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332" w:lineRule="exact" w:before="308" w:after="0"/>
        <w:ind w:left="0" w:right="2398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INLAND REVENUE (AMENDMENT)</w:t>
      </w:r>
    </w:p>
    <w:p>
      <w:pPr>
        <w:autoSpaceDN w:val="0"/>
        <w:autoSpaceDE w:val="0"/>
        <w:widowControl/>
        <w:spacing w:line="332" w:lineRule="exact" w:before="250" w:after="0"/>
        <w:ind w:left="0" w:right="4474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332" w:lineRule="exact" w:before="156" w:after="0"/>
        <w:ind w:left="0" w:right="4264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22" w:lineRule="exact" w:before="390" w:after="0"/>
        <w:ind w:left="0" w:right="2584" w:firstLine="0"/>
        <w:jc w:val="right"/>
      </w:pPr>
      <w:r>
        <w:rPr>
          <w:rFonts w:ascii="Times" w:hAnsi="Times" w:eastAsia="Times"/>
          <w:b/>
          <w:i w:val="0"/>
          <w:color w:val="000000"/>
          <w:sz w:val="20"/>
        </w:rPr>
        <w:t>to amend the Inland Revenue Act, No. 24 of 2017</w:t>
      </w:r>
    </w:p>
    <w:p>
      <w:pPr>
        <w:autoSpaceDN w:val="0"/>
        <w:autoSpaceDE w:val="0"/>
        <w:widowControl/>
        <w:spacing w:line="244" w:lineRule="exact" w:before="20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4" w:lineRule="exact" w:before="288" w:after="0"/>
        <w:ind w:left="1754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>Presented by the Minister of Finance, Economic Stabilization and</w:t>
      </w:r>
    </w:p>
    <w:p>
      <w:pPr>
        <w:autoSpaceDN w:val="0"/>
        <w:autoSpaceDE w:val="0"/>
        <w:widowControl/>
        <w:spacing w:line="244" w:lineRule="exact" w:before="0" w:after="0"/>
        <w:ind w:left="0" w:right="282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 National Policies on 08th of August, 2023</w:t>
      </w:r>
    </w:p>
    <w:p>
      <w:pPr>
        <w:autoSpaceDN w:val="0"/>
        <w:autoSpaceDE w:val="0"/>
        <w:widowControl/>
        <w:spacing w:line="268" w:lineRule="exact" w:before="314" w:after="0"/>
        <w:ind w:left="0" w:right="270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July 19, 2023)</w:t>
      </w:r>
    </w:p>
    <w:p>
      <w:pPr>
        <w:autoSpaceDN w:val="0"/>
        <w:autoSpaceDE w:val="0"/>
        <w:widowControl/>
        <w:spacing w:line="246" w:lineRule="exact" w:before="232" w:after="82"/>
        <w:ind w:left="0" w:right="2972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Ordered by Parliament to be printed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38.0" w:type="dxa"/>
      </w:tblPr>
      <w:tblGrid>
        <w:gridCol w:w="4510"/>
        <w:gridCol w:w="4510"/>
      </w:tblGrid>
      <w:tr>
        <w:trPr>
          <w:trHeight w:hRule="exact" w:val="588"/>
        </w:trPr>
        <w:tc>
          <w:tcPr>
            <w:tcW w:type="dxa" w:w="1762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56" w:after="0"/>
              <w:ind w:left="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[Bill No. 191]</w:t>
            </w:r>
          </w:p>
        </w:tc>
        <w:tc>
          <w:tcPr>
            <w:tcW w:type="dxa" w:w="4488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60" w:after="0"/>
              <w:ind w:left="65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————————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0" w:right="2566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12" w:lineRule="exact" w:before="0" w:after="0"/>
        <w:ind w:left="0" w:right="2488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5902" w:val="left"/>
        </w:tabs>
        <w:autoSpaceDE w:val="0"/>
        <w:widowControl/>
        <w:spacing w:line="276" w:lineRule="exact" w:before="240" w:after="0"/>
        <w:ind w:left="1344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Price : Rs. 12.00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Postage : Rs. 150.00</w:t>
      </w:r>
    </w:p>
    <w:p>
      <w:pPr>
        <w:autoSpaceDN w:val="0"/>
        <w:tabs>
          <w:tab w:pos="6822" w:val="left"/>
        </w:tabs>
        <w:autoSpaceDE w:val="0"/>
        <w:widowControl/>
        <w:spacing w:line="240" w:lineRule="auto" w:before="0" w:after="0"/>
        <w:ind w:left="1344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170"/>
        <w:ind w:left="0" w:right="0"/>
      </w:pPr>
    </w:p>
    <w:p>
      <w:pPr>
        <w:autoSpaceDN w:val="0"/>
        <w:autoSpaceDE w:val="0"/>
        <w:widowControl/>
        <w:spacing w:line="194" w:lineRule="exact" w:before="0" w:after="0"/>
        <w:ind w:left="0" w:right="3240" w:firstLine="0"/>
        <w:jc w:val="right"/>
      </w:pPr>
      <w:r>
        <w:rPr>
          <w:rFonts w:ascii="Times" w:hAnsi="Times" w:eastAsia="Times"/>
          <w:b w:val="0"/>
          <w:i/>
          <w:color w:val="000000"/>
          <w:sz w:val="16"/>
        </w:rPr>
        <w:t>STATEMENT OF LEGAL EFFECT</w:t>
      </w:r>
    </w:p>
    <w:p>
      <w:pPr>
        <w:autoSpaceDN w:val="0"/>
        <w:autoSpaceDE w:val="0"/>
        <w:widowControl/>
        <w:spacing w:line="192" w:lineRule="exact" w:before="494" w:after="0"/>
        <w:ind w:left="1436" w:right="1342" w:firstLine="240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>Clause 2: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This clause amends the First Schedule of the Inland Revenue Act, No. 24 of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2017 and the legal effect of that Schedule as amended is to increase the income tax rate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applicable to the Employees Trust Fund, an approved provident or pension fund, or an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approved termination fund up to 30% and the income tax rate applicable to the funds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which effectively participate in the process of domestic debt optimization to continue </w:t>
      </w:r>
      <w:r>
        <w:rPr>
          <w:rFonts w:ascii="Times" w:hAnsi="Times" w:eastAsia="Times"/>
          <w:b w:val="0"/>
          <w:i w:val="0"/>
          <w:color w:val="221F1F"/>
          <w:sz w:val="16"/>
        </w:rPr>
        <w:t>as 14%.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96"/>
        <w:ind w:left="0" w:right="0"/>
      </w:pPr>
    </w:p>
    <w:p>
      <w:pPr>
        <w:autoSpaceDN w:val="0"/>
        <w:autoSpaceDE w:val="0"/>
        <w:widowControl/>
        <w:spacing w:line="2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00.0" w:type="dxa"/>
      </w:tblPr>
      <w:tblGrid>
        <w:gridCol w:w="4510"/>
        <w:gridCol w:w="4510"/>
      </w:tblGrid>
      <w:tr>
        <w:trPr>
          <w:trHeight w:hRule="exact" w:val="354"/>
        </w:trPr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8" w:after="0"/>
              <w:ind w:left="0" w:right="55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Inland Revenue (Amendment)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66" w:lineRule="exact" w:before="398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L.D.-O. 45/2023</w:t>
      </w:r>
    </w:p>
    <w:p>
      <w:pPr>
        <w:autoSpaceDN w:val="0"/>
        <w:autoSpaceDE w:val="0"/>
        <w:widowControl/>
        <w:spacing w:line="268" w:lineRule="exact" w:before="182" w:after="0"/>
        <w:ind w:left="19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AMEND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000000"/>
          <w:sz w:val="14"/>
        </w:rPr>
        <w:t>NLAND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R</w:t>
      </w:r>
      <w:r>
        <w:rPr>
          <w:rFonts w:ascii="Times" w:hAnsi="Times" w:eastAsia="Times"/>
          <w:b w:val="0"/>
          <w:i w:val="0"/>
          <w:color w:val="000000"/>
          <w:sz w:val="14"/>
        </w:rPr>
        <w:t>EVENUE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24 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2017</w:t>
      </w:r>
    </w:p>
    <w:p>
      <w:pPr>
        <w:autoSpaceDN w:val="0"/>
        <w:autoSpaceDE w:val="0"/>
        <w:widowControl/>
        <w:spacing w:line="250" w:lineRule="exact" w:before="244" w:after="166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61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92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18" w:val="left"/>
              </w:tabs>
              <w:autoSpaceDE w:val="0"/>
              <w:widowControl/>
              <w:spacing w:line="238" w:lineRule="exact" w:before="102" w:after="0"/>
              <w:ind w:left="78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This Act may be cited as the Inland Revenue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(Amendment) Act, No.       of 2023.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08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Short title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and the date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operation</w:t>
            </w:r>
          </w:p>
        </w:tc>
      </w:tr>
      <w:tr>
        <w:trPr>
          <w:trHeight w:hRule="exact" w:val="4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72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The provisions of this Act shall be deemed to have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7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5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come into operation on April 1, 2023.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0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33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144" w:after="0"/>
              <w:ind w:left="78" w:right="0" w:firstLine="24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First Schedule to the Inland Revenue Act, No.24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2017 is hereby amended by the repeal of paragraph 8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First</w:t>
            </w:r>
          </w:p>
        </w:tc>
      </w:tr>
      <w:tr>
        <w:trPr>
          <w:trHeight w:hRule="exact" w:val="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Schedule to</w:t>
            </w:r>
          </w:p>
        </w:tc>
      </w:tr>
      <w:tr>
        <w:trPr>
          <w:trHeight w:hRule="exact" w:val="9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 Schedule and the substitution therefor, of the following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6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Act, No. 24</w:t>
            </w:r>
          </w:p>
        </w:tc>
      </w:tr>
      <w:tr>
        <w:trPr>
          <w:trHeight w:hRule="exact" w:val="31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paragraph: -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2017</w:t>
            </w:r>
          </w:p>
        </w:tc>
      </w:tr>
    </w:tbl>
    <w:p>
      <w:pPr>
        <w:autoSpaceDN w:val="0"/>
        <w:autoSpaceDE w:val="0"/>
        <w:widowControl/>
        <w:spacing w:line="246" w:lineRule="exact" w:before="186" w:after="158"/>
        <w:ind w:left="2518" w:right="2422" w:firstLine="300"/>
        <w:jc w:val="both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“8. Tax rate for Employees Trust Funds, </w:t>
      </w:r>
      <w:r>
        <w:br/>
      </w:r>
      <w:r>
        <w:rPr>
          <w:rFonts w:ascii="Times" w:hAnsi="Times" w:eastAsia="Times"/>
          <w:b/>
          <w:i w:val="0"/>
          <w:color w:val="221F1F"/>
          <w:sz w:val="20"/>
        </w:rPr>
        <w:t xml:space="preserve">Provident, Pension or Gratuity Funds and </w:t>
      </w:r>
      <w:r>
        <w:br/>
      </w:r>
      <w:r>
        <w:rPr>
          <w:rFonts w:ascii="Times" w:hAnsi="Times" w:eastAsia="Times"/>
          <w:b/>
          <w:i w:val="0"/>
          <w:color w:val="221F1F"/>
          <w:sz w:val="20"/>
        </w:rPr>
        <w:t>Termination Funds.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028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08" w:after="0"/>
              <w:ind w:left="0" w:right="4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68" w:lineRule="exact" w:before="974" w:after="0"/>
              <w:ind w:left="0" w:right="4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68" w:lineRule="exact" w:before="1232" w:after="0"/>
              <w:ind w:left="0" w:right="4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80" w:after="0"/>
              <w:ind w:left="438" w:right="1202" w:firstLine="30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(1) The taxable income of the Employees Trust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Fund, an approved provident or pension fund,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 approved termination fund for a year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assessment commencing on or prior to April 1, 2022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for the first six months period of the year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assessment commencing on April 1, 2023 shall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taxed at the rate of 14%.</w:t>
            </w:r>
          </w:p>
          <w:p>
            <w:pPr>
              <w:autoSpaceDN w:val="0"/>
              <w:autoSpaceDE w:val="0"/>
              <w:widowControl/>
              <w:spacing w:line="248" w:lineRule="exact" w:before="248" w:after="0"/>
              <w:ind w:left="438" w:right="1202" w:firstLine="30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(2) Subject to subparagraphs (3) and (4),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taxable income of the Employees Trust Fund, an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approved provident or pension fund or an approved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termination fund for the second six months period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the year of assessment commencing on April 1,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2023 and for each year of assessment commencing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on or after April 1, 2024, shall be taxed at the rate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14%.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8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58" w:after="0"/>
              <w:ind w:left="0" w:right="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0" w:after="0"/>
              <w:ind w:left="8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Inland Revenue (Amendment)</w:t>
            </w:r>
          </w:p>
        </w:tc>
      </w:tr>
      <w:tr>
        <w:trPr>
          <w:trHeight w:hRule="exact" w:val="2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78" w:after="0"/>
              <w:ind w:left="322" w:right="1256" w:firstLine="30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(3) Such part of the gains and profits received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 derived by the Employees Trust Fund, an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approved provident or pension fund or an approved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termination fund from treasury bonds, for the second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six months period of the year of assessment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commencing on April 1, 2023 and for each year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assessment commencing on or after April 1, 2024,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taxed at the rate of 30%.</w:t>
            </w:r>
          </w:p>
        </w:tc>
      </w:tr>
      <w:tr>
        <w:trPr>
          <w:trHeight w:hRule="exact" w:val="106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5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5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46" w:after="0"/>
              <w:ind w:left="322" w:right="1256" w:firstLine="30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(4) Notwithstanding anything to the contrary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provisions of subparagraph (3), if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Employee Trust Fund, an approved provident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pension fund or an approved termination fund has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invested in eligible bonds, and the Registrar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Public Debt Department of the Central Bank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Sri Lanka confirms that any such fund has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effectively participated in the process of domestic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debt optimization approved by the Parliament 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Resolution dated July 1, 2023, such part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gains and profits received or derived by such funds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from the treasury bonds, for the second six months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period of the year of assessment commencing 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April 1, 2023 and for each year of assessment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commencing on or after April 1, 2024 shall be taxed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at the rate of 14%.</w:t>
            </w:r>
          </w:p>
        </w:tc>
      </w:tr>
      <w:tr>
        <w:trPr>
          <w:trHeight w:hRule="exact" w:val="118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5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4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7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46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0" w:after="0"/>
              <w:ind w:left="6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(5) In this paragraph -</w:t>
            </w:r>
          </w:p>
        </w:tc>
      </w:tr>
      <w:tr>
        <w:trPr>
          <w:trHeight w:hRule="exact" w:val="176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5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5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764" w:val="left"/>
                <w:tab w:pos="2474" w:val="left"/>
                <w:tab w:pos="3616" w:val="left"/>
                <w:tab w:pos="4132" w:val="left"/>
              </w:tabs>
              <w:autoSpaceDE w:val="0"/>
              <w:widowControl/>
              <w:spacing w:line="234" w:lineRule="exact" w:before="136" w:after="0"/>
              <w:ind w:left="116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“approved termination fund” means any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thrift, savings or building society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 welfare fund to which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contributions are made by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employees only or, any gratuity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fund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approved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by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Commissioner-General and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maintained for the purpose of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payment of gratuities to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employees on the termination of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their service, under the Payment</w:t>
            </w:r>
          </w:p>
        </w:tc>
      </w:tr>
      <w:tr>
        <w:trPr>
          <w:trHeight w:hRule="exact" w:val="95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5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3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2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Gratuity Act, No. 12 of 1983;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508"/>
        </w:trPr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718" w:after="0"/>
              <w:ind w:left="0" w:right="4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66" w:lineRule="exact" w:before="934" w:after="0"/>
              <w:ind w:left="0" w:right="3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68" w:lineRule="exact" w:before="914" w:after="0"/>
              <w:ind w:left="0" w:right="3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66" w:lineRule="exact" w:before="1154" w:after="0"/>
              <w:ind w:left="0" w:right="3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66" w:lineRule="exact" w:before="1212" w:after="0"/>
              <w:ind w:left="0" w:right="3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68" w:lineRule="exact" w:before="1154" w:after="0"/>
              <w:ind w:left="0" w:right="4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  <w:p>
            <w:pPr>
              <w:autoSpaceDN w:val="0"/>
              <w:autoSpaceDE w:val="0"/>
              <w:widowControl/>
              <w:spacing w:line="268" w:lineRule="exact" w:before="1212" w:after="0"/>
              <w:ind w:left="0" w:right="4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3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0" w:after="0"/>
              <w:ind w:left="92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Inland Revenue (Amendment)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</w:t>
            </w:r>
          </w:p>
        </w:tc>
      </w:tr>
      <w:tr>
        <w:trPr>
          <w:trHeight w:hRule="exact" w:val="5900"/>
        </w:trPr>
        <w:tc>
          <w:tcPr>
            <w:tcW w:type="dxa" w:w="2255"/>
            <w:vMerge/>
            <w:tcBorders/>
          </w:tcPr>
          <w:p/>
        </w:tc>
        <w:tc>
          <w:tcPr>
            <w:tcW w:type="dxa" w:w="57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76" w:after="0"/>
              <w:ind w:left="1878" w:right="1202" w:hanging="60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“effectively participated” means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submission of offers by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Employee Trust Fund, an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approved provident or pension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fund or an approved termination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fund for not less than 50%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total holding of each series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eligible bonds maturing in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year 2023, and for 100%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total holding of eligible bonds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maturing in the calendar years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2024 to 2032 (both inclusive)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acceptance of such offers 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Registrar of the Public Debt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Department of the Central Bank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Sri Lanka; and</w:t>
            </w:r>
          </w:p>
          <w:p>
            <w:pPr>
              <w:autoSpaceDN w:val="0"/>
              <w:autoSpaceDE w:val="0"/>
              <w:widowControl/>
              <w:spacing w:line="240" w:lineRule="exact" w:before="240" w:after="0"/>
              <w:ind w:left="1878" w:right="1202" w:hanging="60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“eligible bonds” means the treasury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bonds applicable for the purposes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domestic debt optimization,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issued under the Registered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Stocks and Securities Ordinance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(Chapter 420) that are-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maturing between June</w:t>
            </w:r>
          </w:p>
        </w:tc>
      </w:tr>
      <w:tr>
        <w:trPr>
          <w:trHeight w:hRule="exact" w:val="1080"/>
        </w:trPr>
        <w:tc>
          <w:tcPr>
            <w:tcW w:type="dxa" w:w="2255"/>
            <w:vMerge/>
            <w:tcBorders/>
          </w:tcPr>
          <w:p/>
        </w:tc>
        <w:tc>
          <w:tcPr>
            <w:tcW w:type="dxa" w:w="57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" w:after="0"/>
              <w:ind w:left="2536" w:right="12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28, 2023 and December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31, 2023 (excluding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treasury bonds maturing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 July 15, 2023); and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maturing in the calendar</w:t>
            </w:r>
          </w:p>
        </w:tc>
      </w:tr>
      <w:tr>
        <w:trPr>
          <w:trHeight w:hRule="exact" w:val="1938"/>
        </w:trPr>
        <w:tc>
          <w:tcPr>
            <w:tcW w:type="dxa" w:w="2255"/>
            <w:vMerge/>
            <w:tcBorders/>
          </w:tcPr>
          <w:p/>
        </w:tc>
        <w:tc>
          <w:tcPr>
            <w:tcW w:type="dxa" w:w="57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" w:after="0"/>
              <w:ind w:left="253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years 2024 to 2032 (both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inclusive).</w:t>
            </w:r>
          </w:p>
          <w:p>
            <w:pPr>
              <w:autoSpaceDN w:val="0"/>
              <w:autoSpaceDE w:val="0"/>
              <w:widowControl/>
              <w:spacing w:line="240" w:lineRule="exact" w:before="240" w:after="0"/>
              <w:ind w:left="436" w:right="1202" w:firstLine="36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(6) Notwithstanding anything to the contrary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 any other provision of this Act, where any fund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referred to in this paragraph uses accounts based 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 alternative period of twelve months for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computation of the income tax payable for the year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910" w:val="left"/>
        </w:tabs>
        <w:autoSpaceDE w:val="0"/>
        <w:widowControl/>
        <w:spacing w:line="266" w:lineRule="exact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Inland Revenue (Amendment)</w:t>
      </w:r>
    </w:p>
    <w:p>
      <w:pPr>
        <w:autoSpaceDN w:val="0"/>
        <w:autoSpaceDE w:val="0"/>
        <w:widowControl/>
        <w:spacing w:line="240" w:lineRule="exact" w:before="518" w:after="154"/>
        <w:ind w:left="2424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assessment commencing on April 1, 2023,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income tax rates set out in this paragraph shall be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applied for such year of assessment by considering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such alternative period of twelve months period.”.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19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6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40" w:after="0"/>
              <w:ind w:left="344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 In the event of any inconsistency between the Sinhala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Sinhala text</w:t>
            </w:r>
          </w:p>
        </w:tc>
      </w:tr>
      <w:tr>
        <w:trPr>
          <w:trHeight w:hRule="exact" w:val="171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prevail in</w:t>
            </w:r>
          </w:p>
        </w:tc>
      </w:tr>
      <w:tr>
        <w:trPr>
          <w:trHeight w:hRule="exact" w:val="19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  <w:tr>
        <w:trPr>
          <w:trHeight w:hRule="exact" w:val="18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inconsistency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82"/>
        <w:ind w:left="0" w:right="0"/>
      </w:pPr>
    </w:p>
    <w:p>
      <w:pPr>
        <w:autoSpaceDN w:val="0"/>
        <w:autoSpaceDE w:val="0"/>
        <w:widowControl/>
        <w:spacing w:line="21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50.0" w:type="dxa"/>
      </w:tblPr>
      <w:tblGrid>
        <w:gridCol w:w="4510"/>
        <w:gridCol w:w="4510"/>
      </w:tblGrid>
      <w:tr>
        <w:trPr>
          <w:trHeight w:hRule="exact" w:val="9328"/>
        </w:trPr>
        <w:tc>
          <w:tcPr>
            <w:tcW w:type="dxa" w:w="4490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80" w:after="0"/>
              <w:ind w:left="0" w:right="55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Inland Revenue (Amendment)</w:t>
            </w:r>
          </w:p>
        </w:tc>
        <w:tc>
          <w:tcPr>
            <w:tcW w:type="dxa" w:w="1742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10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</w:tr>
    </w:tbl>
    <w:p>
      <w:pPr>
        <w:autoSpaceDN w:val="0"/>
        <w:autoSpaceDE w:val="0"/>
        <w:widowControl/>
        <w:spacing w:line="212" w:lineRule="exact" w:before="1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