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23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7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12" w:lineRule="exact" w:before="390" w:after="0"/>
        <w:ind w:left="2160" w:right="2160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SRI LANKA COLLEGE OF NUTRITION </w:t>
      </w:r>
      <w:r>
        <w:rPr>
          <w:rFonts w:ascii="Times" w:hAnsi="Times" w:eastAsia="Times"/>
          <w:b/>
          <w:i w:val="0"/>
          <w:color w:val="221F1F"/>
          <w:sz w:val="26"/>
        </w:rPr>
        <w:t xml:space="preserve">PHYSICIANS </w:t>
      </w:r>
      <w:r>
        <w:rPr>
          <w:rFonts w:ascii="TimesNewRomanPS" w:hAnsi="TimesNewRomanPS" w:eastAsia="TimesNewRomanPS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332" w:lineRule="exact" w:before="182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168" w:after="0"/>
        <w:ind w:left="1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to incorporate the </w:t>
      </w:r>
      <w:r>
        <w:rPr>
          <w:rFonts w:ascii="Times" w:hAnsi="Times" w:eastAsia="Times"/>
          <w:b/>
          <w:i w:val="0"/>
          <w:color w:val="221F1F"/>
          <w:sz w:val="20"/>
        </w:rPr>
        <w:t>Sri Lanka College of Nutrition Physicians</w:t>
      </w:r>
    </w:p>
    <w:p>
      <w:pPr>
        <w:autoSpaceDN w:val="0"/>
        <w:autoSpaceDE w:val="0"/>
        <w:widowControl/>
        <w:spacing w:line="246" w:lineRule="exact" w:before="2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54" w:lineRule="auto" w:before="408" w:after="0"/>
        <w:ind w:left="0" w:right="2358" w:firstLine="0"/>
        <w:jc w:val="righ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Presented  by the Hon. (Dr.) Upul Galappaththi, M. P.</w:t>
      </w:r>
    </w:p>
    <w:p>
      <w:pPr>
        <w:autoSpaceDN w:val="0"/>
        <w:autoSpaceDE w:val="0"/>
        <w:widowControl/>
        <w:spacing w:line="254" w:lineRule="auto" w:before="0" w:after="0"/>
        <w:ind w:left="0" w:right="2510" w:firstLine="0"/>
        <w:jc w:val="righ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 for Hambanthota District on 10th of August, 2023</w:t>
      </w:r>
    </w:p>
    <w:p>
      <w:pPr>
        <w:autoSpaceDN w:val="0"/>
        <w:autoSpaceDE w:val="0"/>
        <w:widowControl/>
        <w:spacing w:line="254" w:lineRule="auto" w:before="236" w:after="0"/>
        <w:ind w:left="0" w:right="2756" w:firstLine="0"/>
        <w:jc w:val="righ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( Published in the Gazette on July 12, 2023)</w:t>
      </w:r>
    </w:p>
    <w:p>
      <w:pPr>
        <w:autoSpaceDN w:val="0"/>
        <w:autoSpaceDE w:val="0"/>
        <w:widowControl/>
        <w:spacing w:line="254" w:lineRule="auto" w:before="236" w:after="0"/>
        <w:ind w:left="0" w:right="3072" w:firstLine="0"/>
        <w:jc w:val="righ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30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6" w:lineRule="exact" w:before="11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198]</w:t>
      </w:r>
    </w:p>
    <w:p>
      <w:pPr>
        <w:autoSpaceDN w:val="0"/>
        <w:autoSpaceDE w:val="0"/>
        <w:widowControl/>
        <w:spacing w:line="233" w:lineRule="auto" w:before="44" w:after="0"/>
        <w:ind w:left="0" w:right="2720" w:firstLine="0"/>
        <w:jc w:val="right"/>
      </w:pP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PRINTING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3" w:lineRule="auto" w:before="86" w:after="0"/>
        <w:ind w:left="0" w:right="2488" w:firstLine="0"/>
        <w:jc w:val="right"/>
      </w:pP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BUREAU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221F1F"/>
          <w:sz w:val="11"/>
        </w:rPr>
        <w:t>COLOMBO</w:t>
      </w:r>
      <w:r>
        <w:rPr>
          <w:rFonts w:ascii="TimesNewRomanPSMT" w:hAnsi="TimesNewRomanPSMT" w:eastAsia="TimesNewRomanPSMT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868" w:val="left"/>
        </w:tabs>
        <w:autoSpaceDE w:val="0"/>
        <w:widowControl/>
        <w:spacing w:line="233" w:lineRule="auto" w:before="56" w:after="0"/>
        <w:ind w:left="136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0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College of Nutrition Physicians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2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22" w:after="154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OLLEGE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UTRITION </w:t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HYSICIANS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college called and known as the “Sri Lanka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College of Nutrition Physicians” has heretofore been formed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for the purpose of effectually carrying out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and transacting all matters connected with the said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college according to the rules agreed to by its members: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2" w:after="15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college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>and it will be expedient to grant the said application: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it therefore enacted by the Parliament of the Democratic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Socialist Republic of Sri Lanka as follows:—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78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 Sri Lanka College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Nutrition Physicians (Incorporation) Act, No.   of 2023.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 and after the date of commencement of this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College of Nutrition Physicians (hereinafter referred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College of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“college”) or shall hereafter be admitted as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Nutrition</w:t>
            </w:r>
          </w:p>
        </w:tc>
      </w:tr>
      <w:tr>
        <w:trPr>
          <w:trHeight w:hRule="exact" w:val="17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Corporation hereby constituted shall be a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with perpetual succession, under the name and style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“Sri Lanka College of Nutrition Physicians”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“body corporate”) and by that name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sue and be sued, in all Courts with full power and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have and use a common seal and to alter the same at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pleasure.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Physicians</w:t>
            </w:r>
          </w:p>
        </w:tc>
      </w:tr>
      <w:tr>
        <w:trPr>
          <w:trHeight w:hRule="exact" w:val="13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body corporate shall be deemed to be a Voluntary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Social Service Organization within the meaning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the Voluntary Social Services Organizations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(Registration and Supervision) Act, No. 31 of 1980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apply to and in relation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Corporation.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College of Nutrition Physicians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2" w:after="0"/>
              <w:ind w:left="0" w:right="1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operates exclusively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not-for profit Organization and it is solely for the benefit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operates as a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society and its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 profit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58" w:after="0"/>
              <w:ind w:left="0" w:right="1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co-operate with other Associations, Colleges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individuals, to promote the objectives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advocacy for political leaders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administrators regarding the nutrition related policy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programme planning within and outside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including Health Ministry;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acts/measures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 incidental, conducive or convenient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attainment of the above aims and objectives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implementation of the objects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the Corporation shall ensure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shall be carried out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discrimination based on race, religion, language, caste, sex,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 opinion, place of birth 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0" w:right="1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7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College of Nutrition Physicians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0" w:val="left"/>
              </w:tabs>
              <w:autoSpaceDE w:val="0"/>
              <w:widowControl/>
              <w:spacing w:line="228" w:lineRule="exact" w:before="25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this Act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corporate shall be carried out by a Board of 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“the Board”) consisting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number of office bearers as may be specified by the 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8.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4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5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 Board of Management of the foundation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holds 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commencement of this Act, shall function as the Board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body corporate until the first Board is appointed or elected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provided for by rules made under section 8.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170" w:after="13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34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5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Every office bearer of the Board including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patrons and advisors, shall be appointed or elected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of three years and any such office bearer, patron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shall be eligible for re-appointment or re-election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4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4" w:after="0"/>
              <w:ind w:left="5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event of a vacancy occurring due to the death,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resignation, incapacity or removal from office of an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bearer, the Board shall having regard to the rules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Corporation, elect or appoint a person to fill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58" w:right="4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hold office only for the unexpired portion of the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666" w:val="left"/>
              </w:tabs>
              <w:autoSpaceDE w:val="0"/>
              <w:widowControl/>
              <w:spacing w:line="208" w:lineRule="exact" w:before="166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this Act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body corporate shall have the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do, perform and execute all such acts and matters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necessary or desirable for the promotion or any one of them,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power–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7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4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purchase, acquire, rent, construct and renovate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otherwise obtain lands or buildings which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College of Nutrition Physicians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60" w:lineRule="exact" w:before="41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required for the purposes of the body corporate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deal with or dispose of the same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expedient with a view to promoting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with or without security: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Committee shall obtain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written approval of the Department of External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of the Ministry of the Minister assigned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body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 and issue bills of exchange, cheques,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promissory notes and other negotiable instruments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operate, and close accounts in any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</w:tr>
      <w:tr>
        <w:trPr>
          <w:trHeight w:hRule="exact" w:val="2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the body corporate, in such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as the Committee may determine;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with a view to promoting the objects of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officers and servants of the body corporate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disciplinary control over them and to pay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such salaries, allowances and gratuities as may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body corporate;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3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7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College of Nutrition Physicians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6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expendient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proper and effective carrying out the objects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It shall be lawful for the body corporate, from time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two-thirds of the members present and voting,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rules, not inconsistent with the provisions of this Act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written law, for all or any of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classification of membership, admission,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withdrawal, expulsion or resignation of members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fees payable by members;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Board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vacation of or removal from office of office bearers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powers, duties and functions of the office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duties of various officers, agents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 of the body corporate;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summoning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holding of meetings of the Board, or any sub-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thereof,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notices and agenda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meetings, the quorum and the conduct of business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Board and the body corporate;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 and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College of Nutrition Physicians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0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management of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</w:p>
        </w:tc>
      </w:tr>
      <w:tr>
        <w:trPr>
          <w:trHeight w:hRule="exact" w:val="15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8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accomplishment of its’ objects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dissolution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  <w:p>
            <w:pPr>
              <w:autoSpaceDN w:val="0"/>
              <w:autoSpaceDE w:val="0"/>
              <w:widowControl/>
              <w:spacing w:line="244" w:lineRule="exact" w:before="244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rules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manner, as a rule made under subsection (1).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4" w:lineRule="exact" w:before="184" w:after="162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The rules made under this section shall be published in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72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Government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be inscribed.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moneys received by way of gifts, bequests,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donations, subscriptions, contributions, fees or grants for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of the body corporate shall be deposited in one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banks approved by the Board to the credit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There shall be paid out of the Fund, all such sums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as are required to defray any expenditure incurred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in the exercise, performance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48" w:lineRule="exact" w:before="1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College of Nutrition Physicians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8" w:lineRule="exact" w:before="40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</w:t>
      </w:r>
    </w:p>
    <w:p>
      <w:pPr>
        <w:autoSpaceDN w:val="0"/>
        <w:autoSpaceDE w:val="0"/>
        <w:widowControl/>
        <w:spacing w:line="268" w:lineRule="exact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a qualified auditor appointed by Auditor General in terms</w:t>
      </w:r>
    </w:p>
    <w:p>
      <w:pPr>
        <w:autoSpaceDN w:val="0"/>
        <w:autoSpaceDE w:val="0"/>
        <w:widowControl/>
        <w:spacing w:line="266" w:lineRule="exact" w:before="0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Article 154 of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For the purposes of this section, “qualified auditor”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who, being a member of the Institute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 or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institute established by law, possesses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certified to practice as an Accountant,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such institute;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 partners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which, being a member of the Institute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Chartered Accountants of  Sri Lanka or of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established by law, possesses a certificate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 issued by the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prepare a report of the activities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 for each financial year and submit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report together with the audited statement of accounts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Secretary of the Ministry of the Minister assigned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of Social Services and to the Registrar of Voluntary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 Services Organizations appointed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Voluntary Social Services Organization (Registration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Supervision) Act, No. 31 of 1980 before the expiration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months of the year succeeding the year to which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relates.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separate accounts relating to the foreign and local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received by the body corporate during the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 shall  be  attached  to  the  report  referred  to 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College of Nutrition Physicians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College</w:t>
            </w:r>
          </w:p>
        </w:tc>
      </w:tr>
      <w:tr>
        <w:trPr>
          <w:trHeight w:hRule="exact" w:val="48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8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college existing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constituted, and all debts due to, and subscriptions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college on that day shall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body corporate for the purposes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5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be able and capable in law,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or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2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the purposes of this Act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made under section 8, with </w:t>
      </w:r>
      <w:r>
        <w:rPr>
          <w:rFonts w:ascii="Times" w:hAnsi="Times" w:eastAsia="Times"/>
          <w:b w:val="0"/>
          <w:i w:val="0"/>
          <w:color w:val="221F1F"/>
          <w:sz w:val="20"/>
        </w:rPr>
        <w:t>power to sell, mortgage, lease, exchange or otherwise dispose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same.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4" w:lineRule="exact" w:before="0" w:after="22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profit to the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instruments in token of their presence and such 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independent of the 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216" w:after="0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7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College of Nutrition Physicians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any property whatsoever, such property shall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distributed among the members of the body corporate,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shall be given or transferred to any other appropriate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having objects similar to those of the body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corporate, and which is by the rules thereof,  prohibited from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distributing any income or property among its members.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purposes of this subsection (1) the appropriate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shall be determined by the members of the body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immediately before the dissolution at a general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6" w:after="20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92"/>
        </w:trPr>
        <w:tc>
          <w:tcPr>
            <w:tcW w:type="dxa" w:w="8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2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44" w:right="172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Sri Lanka College of Nutrition Physicians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58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