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11, 2023</w:t>
      </w:r>
    </w:p>
    <w:p>
      <w:pPr>
        <w:autoSpaceDN w:val="0"/>
        <w:autoSpaceDE w:val="0"/>
        <w:widowControl/>
        <w:spacing w:line="332" w:lineRule="exact" w:before="21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1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16.08.2023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28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38" w:after="0"/>
        <w:ind w:left="0" w:right="2744" w:firstLine="0"/>
        <w:jc w:val="right"/>
      </w:pPr>
      <w:r>
        <w:rPr>
          <w:rFonts w:ascii="Times" w:hAnsi="Times" w:eastAsia="Times"/>
          <w:b/>
          <w:i w:val="0"/>
          <w:color w:val="000000"/>
          <w:sz w:val="23"/>
        </w:rPr>
        <w:t>CIVIL  AVIATION  (AMENDMENT)</w:t>
      </w:r>
    </w:p>
    <w:p>
      <w:pPr>
        <w:autoSpaceDN w:val="0"/>
        <w:autoSpaceDE w:val="0"/>
        <w:widowControl/>
        <w:spacing w:line="276" w:lineRule="exact" w:before="17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12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198" w:after="0"/>
        <w:ind w:left="0" w:right="244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 to amend the Civil Aviation Act, No. 14 of 2010</w:t>
      </w:r>
    </w:p>
    <w:p>
      <w:pPr>
        <w:autoSpaceDN w:val="0"/>
        <w:autoSpaceDE w:val="0"/>
        <w:widowControl/>
        <w:spacing w:line="244" w:lineRule="exact" w:before="100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Ports, Shipping and Aviation</w:t>
      </w:r>
    </w:p>
    <w:p>
      <w:pPr>
        <w:autoSpaceDN w:val="0"/>
        <w:autoSpaceDE w:val="0"/>
        <w:widowControl/>
        <w:spacing w:line="212" w:lineRule="exact" w:before="46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76" w:lineRule="exact" w:before="72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76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34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88" w:lineRule="exact" w:before="206" w:after="0"/>
        <w:ind w:left="1344" w:right="1436" w:firstLine="16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Clause 2</w:t>
      </w:r>
      <w:r>
        <w:rPr>
          <w:rFonts w:ascii="TimesNewRomanPS" w:hAnsi="TimesNewRomanPS" w:eastAsia="TimesNewRomanPS"/>
          <w:b/>
          <w:i/>
          <w:color w:val="000000"/>
          <w:sz w:val="16"/>
        </w:rPr>
        <w:t xml:space="preserve">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paragraph (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of subsection (3) of section 6 of the Civil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Aviation Act, No. 14 of 2010, and the legal effect of the section as amended is to provide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for more than one Service Provider to be appointed for supplying aeronautical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referred to in that paragraph and to remove the limitation relating to the appointment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Service Provider, such being the appointment of public corporation or a company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which the Government holds a majority of shares as the Service Provider.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Aviation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29/2023</w:t>
      </w:r>
    </w:p>
    <w:p>
      <w:pPr>
        <w:autoSpaceDN w:val="0"/>
        <w:autoSpaceDE w:val="0"/>
        <w:widowControl/>
        <w:spacing w:line="230" w:lineRule="auto" w:before="296" w:after="0"/>
        <w:ind w:left="19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TO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AMEND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THE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IVIL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VIATION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CT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N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14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2010</w:t>
      </w:r>
    </w:p>
    <w:p>
      <w:pPr>
        <w:autoSpaceDN w:val="0"/>
        <w:autoSpaceDE w:val="0"/>
        <w:widowControl/>
        <w:spacing w:line="245" w:lineRule="auto" w:before="274" w:after="198"/>
        <w:ind w:left="179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This Act may be cited as the Civil Aviation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Act, No.             of 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Section 6 of the Civil Aviation Act, No. 14 of 2010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hereby amended in subsection (3) thereof, by the repeal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(e)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the substitution therefor,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No. 14 of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2010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6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“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 appoint one or more persons to be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Providers for providing aeronautical services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" w:after="188"/>
        <w:ind w:left="283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specified in paragraph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(i), (j), (k), (l)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(m)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31 at any Aerodrome specified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paragraphs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(a)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(b)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of that section: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6" w:right="1202" w:firstLine="20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Provided that where a Service Provider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appointed under this paragraph does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consent to provide the aeronautical services</w:t>
            </w:r>
          </w:p>
        </w:tc>
      </w:tr>
    </w:tbl>
    <w:p>
      <w:pPr>
        <w:autoSpaceDN w:val="0"/>
        <w:autoSpaceDE w:val="0"/>
        <w:widowControl/>
        <w:spacing w:line="238" w:lineRule="exact" w:before="0" w:after="10"/>
        <w:ind w:left="2836" w:right="24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referred to therein at any Aerodrome specified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paragraph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(a)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or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section 31, the Minister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may appoint any other Service Provider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provide the aeronautical services referred to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this paragraph.”.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2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71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case of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452"/>
        </w:trPr>
        <w:tc>
          <w:tcPr>
            <w:tcW w:type="dxa" w:w="10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Aviation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8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