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0" w:lineRule="exact" w:before="18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40" w:after="0"/>
        <w:ind w:left="0" w:right="31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18, 2023</w:t>
      </w:r>
    </w:p>
    <w:p>
      <w:pPr>
        <w:autoSpaceDN w:val="0"/>
        <w:autoSpaceDE w:val="0"/>
        <w:widowControl/>
        <w:spacing w:line="332" w:lineRule="exact" w:before="26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2" w:lineRule="exact" w:before="274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22.08.2023)</w:t>
      </w:r>
    </w:p>
    <w:p>
      <w:pPr>
        <w:autoSpaceDN w:val="0"/>
        <w:autoSpaceDE w:val="0"/>
        <w:widowControl/>
        <w:spacing w:line="240" w:lineRule="auto" w:before="33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382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WALPOLA PIYANANDA EDUCATIONAL AND </w:t>
      </w:r>
      <w:r>
        <w:rPr>
          <w:rFonts w:ascii="Times" w:hAnsi="Times" w:eastAsia="Times"/>
          <w:b/>
          <w:i w:val="0"/>
          <w:color w:val="221F1F"/>
          <w:sz w:val="24"/>
        </w:rPr>
        <w:t>CULTURAL FOUNDATION (INCORPORATION)</w:t>
      </w:r>
    </w:p>
    <w:p>
      <w:pPr>
        <w:autoSpaceDN w:val="0"/>
        <w:autoSpaceDE w:val="0"/>
        <w:widowControl/>
        <w:spacing w:line="244" w:lineRule="exact" w:before="336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12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70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116" w:after="0"/>
        <w:ind w:left="145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incorporate the Walpola Piyananda Educational and Cultural Foundation</w:t>
      </w:r>
    </w:p>
    <w:p>
      <w:pPr>
        <w:autoSpaceDN w:val="0"/>
        <w:autoSpaceDE w:val="0"/>
        <w:widowControl/>
        <w:spacing w:line="244" w:lineRule="exact" w:before="300" w:after="0"/>
        <w:ind w:left="18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Sanjeeva Edirimanna, M. P.</w:t>
      </w:r>
    </w:p>
    <w:p>
      <w:pPr>
        <w:autoSpaceDN w:val="0"/>
        <w:autoSpaceDE w:val="0"/>
        <w:widowControl/>
        <w:spacing w:line="244" w:lineRule="exact" w:before="0" w:after="58"/>
        <w:ind w:left="0" w:right="36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Kalutara District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7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4" w:after="0"/>
              <w:ind w:left="1728" w:right="1584" w:firstLine="0"/>
              <w:jc w:val="center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SRI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LANKA </w:t>
            </w:r>
            <w:r>
              <w:br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5</w:t>
            </w:r>
          </w:p>
        </w:tc>
      </w:tr>
      <w:tr>
        <w:trPr>
          <w:trHeight w:hRule="exact" w:val="28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7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6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56"/>
        </w:trPr>
        <w:tc>
          <w:tcPr>
            <w:tcW w:type="dxa" w:w="6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38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296" w:right="3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Walpola Piyananda Educational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2" w:lineRule="exact" w:before="414" w:after="198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14"/>
        </w:rPr>
        <w:t>ALPOLA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IYANANDA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DUCATIONAL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ULTURAL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WHEREAS a Board called and known as the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Walpola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Piyananda Educational and Cultural Foundation”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heretofore been established by the Sri Maha Viharaya,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Maha Vihara Road, Pamankada, Dehiwala, for the purpose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effectually carrying out and transacting all objects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connected with the said Foundation according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agreed to by its 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WHEREAS the said Foundation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successfully carried out and transacted the formed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matters for which it was formed and has applied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incorporated and it will be for the  advantage to grant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exact" w:before="202" w:after="17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Walpola Piyananda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Educational and Cultural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(Incorporation)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    of 2023.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such and so many persons as now are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Walpola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“Walpola Piyananda Educational and Cultural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Piyananda</w:t>
            </w:r>
          </w:p>
        </w:tc>
      </w:tr>
      <w:tr>
        <w:trPr>
          <w:trHeight w:hRule="exact" w:val="1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Foundation”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“Foundation”)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hereafter be admitted as members shall be a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(hereinafter referred to as the “Corporation”)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perpetual succession under the name and style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Walpola Piyananda Educational and Cultural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by that name may sue and be sued in all courts with full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 and authority to have and  use a common seal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 the same at its pleasure.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Walpola Piyananda Educational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</w:tabs>
              <w:autoSpaceDE w:val="0"/>
              <w:widowControl/>
              <w:spacing w:line="278" w:lineRule="exact" w:before="23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educational and cultural understanding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other countries for Sangha Members prior of their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going abroad to do Buddha Sasana work to better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them and prevent cultural shock;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Sangha Members in their study to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cultures, traditions and the languages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and award scholarships, grants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prizes to deserving Sri Lankan students and to assist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in their spiritual, philosophical, cultural,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scientific and technical education;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Sri Lankans and Americans to study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there’s cultures, languages and any other language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educational tours, to provide hostel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facilities to those who participate in such tours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education and cultural representatives;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and maintain libraries and to purchase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subscribe and publish books, newspapers,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periodicals and other publications which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may consider desirable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and advancement of its objectives;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join and collaborate with other local and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associations, Societies or organizations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objectives similar to those of the Corporations;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and assist in making eye glasses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to the needy through Corporation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local and foreign associations, societies 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organizations with similar objectives.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Walpola Piyananda Educational and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68" w:val="left"/>
              </w:tabs>
              <w:autoSpaceDE w:val="0"/>
              <w:widowControl/>
              <w:spacing w:line="226" w:lineRule="exact" w:before="29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shall, subject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rules in force for the time being of the Corporation,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administered by a Committee of Management consisting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Director General, the Honarary Secretary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Honorary Treasurer and not less than eleven other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may be provided  for in those rules and elected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therewith.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1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4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Member of the Foundation Chief incumbent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Ven. Walpola Piyananda Thero, shall be the Director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life. The Director General shall be the Chief Executive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first Committee of the Management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 shall consist of the members of the Committee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Management of the  Foundation holding office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the commencement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0" w:val="left"/>
              </w:tabs>
              <w:autoSpaceDE w:val="0"/>
              <w:widowControl/>
              <w:spacing w:line="226" w:lineRule="exact" w:before="144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Corporation shall have the powers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 and execute all such acts, matters and things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whatsoever as are necessary or desirable for the promotion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furtherance of the objects of the Corporation or any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them, including the power to acquire and hold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movable, to open, operate and close bank accounts, to borrow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raise moneys with or without security, to erect any building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structures on any land held  by the Corporation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engage, employ and dismiss officers and servants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carrying out of the objects of the Corporation.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20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0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68" w:val="left"/>
              </w:tabs>
              <w:autoSpaceDE w:val="0"/>
              <w:widowControl/>
              <w:spacing w:line="226" w:lineRule="exact" w:before="15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1) It shall be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time, at any General Meeting of the members and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majority of not less than two-thirds of the members present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voting, to make rules, not inconsistant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any other written law, for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2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8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4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classification of membership, admission,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withdrawal, expulsion or resignation of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membership fees payable;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7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3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9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Walpola Piyananda Educational and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</w:tr>
      <w:tr>
        <w:trPr>
          <w:trHeight w:hRule="exact" w:val="1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0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 to be observed for the summoning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holding of meetings of the Corporation and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of Directors, the quorum for such meetings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exercise and performance of their powers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duties;</w:t>
            </w:r>
          </w:p>
        </w:tc>
      </w:tr>
      <w:tr>
        <w:trPr>
          <w:trHeight w:hRule="exact" w:val="9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appointment, powers,  duties and 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various officers, agents and servants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qualification required to become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and of the Board of Directors;  and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administration and management of the property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Corporation.</w:t>
            </w:r>
          </w:p>
        </w:tc>
      </w:tr>
      <w:tr>
        <w:trPr>
          <w:trHeight w:hRule="exact" w:val="90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8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rules made by the Corporation may be amended,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a rule made under subsection (1).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34" w:lineRule="exact" w:before="174" w:after="14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Every  members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59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656" w:val="left"/>
              </w:tabs>
              <w:autoSpaceDE w:val="0"/>
              <w:widowControl/>
              <w:spacing w:line="232" w:lineRule="exact" w:before="104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debts and liabilities of the Foundation existing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preceding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paid by the Corporation hereby constituted and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debts due to subscriptions and contributions payable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Foundation on that day shall be paid to the Corporation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contributions of this Act.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payable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16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656" w:val="left"/>
              </w:tabs>
              <w:autoSpaceDE w:val="0"/>
              <w:widowControl/>
              <w:spacing w:line="232" w:lineRule="exact" w:before="150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Corporation shall have its own fund and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moneys heretofore or hereafter to be received by way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gifts, bequests, donations, subscriptions, contributions, fees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grants for and on account of the Corporation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deposited to the credit of the Corporation in one or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 as the Board of Directors shall determine.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60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0" w:after="0"/>
              <w:ind w:left="62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There shall be paid out of the fund, all sums of money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defray any expenditure incurred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296" w:right="3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Walpola Piyananda Educational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4" w:lineRule="exact" w:before="424" w:after="14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666" w:val="left"/>
              </w:tabs>
              <w:autoSpaceDE w:val="0"/>
              <w:widowControl/>
              <w:spacing w:line="232" w:lineRule="exact" w:before="104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Corporation shall be able and capable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to acquire and hold any property, movable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immovable which may become vested in it by virtue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purchase, grant, lease,  gift, testamentary disposition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otherwise and all such property shall be held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for the purposes of this Act and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rules in force for the time being of the Corporation, with full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 to sell, mortgage, lease, exchange or otherwise dispose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same.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14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750" w:val="left"/>
              </w:tabs>
              <w:autoSpaceDE w:val="0"/>
              <w:widowControl/>
              <w:spacing w:line="232" w:lineRule="exact" w:before="154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member of the Corporation there remains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satisfaction of all its debts and liabilities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or for any other purpose, be liable to make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contribution exceeding the among of such membership fees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due from him to the Corporation.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Limitations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liabilities</w:t>
            </w:r>
          </w:p>
        </w:tc>
      </w:tr>
      <w:tr>
        <w:trPr>
          <w:trHeight w:hRule="exact" w:val="8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3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756" w:val="left"/>
              </w:tabs>
              <w:autoSpaceDE w:val="0"/>
              <w:widowControl/>
              <w:spacing w:line="232" w:lineRule="exact" w:before="146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upon the dissolution of the Corporation there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property whatsoever, such property shall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distributed among the members of the Corporation, but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given or transferred to some other institution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institutions having objects similar to those of the Corporation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which, is or are by its or their rules prohibited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distributing any income or property among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9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71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1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78" w:lineRule="exact" w:before="21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Body corporate shall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calendar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9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58" w:right="4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Body corporate shall cause proper accounts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kept of  income and expenditure, assets and liabilities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other transactions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158" w:after="0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000000"/>
          <w:sz w:val="20"/>
        </w:rPr>
        <w:t>of Artical 154 of the 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402" w:right="1584" w:hanging="16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Walpola Piyananda Educational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28" w:lineRule="exact" w:before="424" w:after="13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3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individual who being a member of the Institute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Chartered Accountants of Sri Lanka,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 established by law, possesses a certificate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practice as an Accountant issued by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Institute; 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6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firm of Accountants each of the resident partners,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which being a member of the Institute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Chartered Accountants of Sri Lanka or of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 established by law possesses a certificate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practice as an Accountant issued by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10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be affixed to any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whatsoever except in the presence of such number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person as may be provided for in the rules in force for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1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of the Corporation, who shall 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instrument in token of their presence and such  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independent of the signing of any person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8" w:val="left"/>
              </w:tabs>
              <w:autoSpaceDE w:val="0"/>
              <w:widowControl/>
              <w:spacing w:line="278" w:lineRule="exact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 except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and those claiming by, from,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278" w:lineRule="exact" w:before="12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6.0000000000002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6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3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Walpola Piyananda Educational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Cultural Foundation (Incorporation)</w:t>
            </w:r>
          </w:p>
        </w:tc>
        <w:tc>
          <w:tcPr>
            <w:tcW w:type="dxa" w:w="15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50" w:lineRule="exact" w:before="12" w:after="0"/>
        <w:ind w:left="0" w:right="337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