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0" w:lineRule="exact" w:before="18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08, 2023</w:t>
      </w:r>
    </w:p>
    <w:p>
      <w:pPr>
        <w:autoSpaceDN w:val="0"/>
        <w:autoSpaceDE w:val="0"/>
        <w:widowControl/>
        <w:spacing w:line="332" w:lineRule="exact" w:before="268" w:after="0"/>
        <w:ind w:left="0" w:right="35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274" w:after="0"/>
        <w:ind w:left="0" w:right="3332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14.09.2023)</w:t>
      </w:r>
    </w:p>
    <w:p>
      <w:pPr>
        <w:autoSpaceDN w:val="0"/>
        <w:autoSpaceDE w:val="0"/>
        <w:widowControl/>
        <w:spacing w:line="240" w:lineRule="auto" w:before="33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exact" w:before="388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SUSARANA LANKA FOUNDATION </w:t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44" w:lineRule="exact" w:before="214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32" w:after="0"/>
        <w:ind w:left="0" w:right="246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Susarana Lanka Foundation</w:t>
      </w:r>
    </w:p>
    <w:p>
      <w:pPr>
        <w:autoSpaceDN w:val="0"/>
        <w:autoSpaceDE w:val="0"/>
        <w:widowControl/>
        <w:spacing w:line="244" w:lineRule="exact" w:before="286" w:after="0"/>
        <w:ind w:left="18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Asanka Navarathna, M. P.</w:t>
      </w:r>
    </w:p>
    <w:p>
      <w:pPr>
        <w:autoSpaceDN w:val="0"/>
        <w:autoSpaceDE w:val="0"/>
        <w:widowControl/>
        <w:spacing w:line="244" w:lineRule="exact" w:before="0" w:after="58"/>
        <w:ind w:left="0" w:right="34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Kurunegala District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1728" w:right="1584" w:firstLine="0"/>
              <w:jc w:val="center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LANKA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30.00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56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5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11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8" w:after="166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USARANA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Organization called and known as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“Susarana Lanka Foundation” has heretofore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in Sri Lanka for the purpose of effectually carrying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its objects and transacting all matters connected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Organization according to the rules agreed to by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Organization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established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incorporated and it will be for the public advantage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the said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88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 Susarana Lanka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7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23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 and after the date of commencement of this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Susarana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Susarana Lanka Foundation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and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hereby constituted shall have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perpetual succession, under the name and style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“Susarana Lanka Foundation”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“body corporate”) and by that name may sue and be sued,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full power and authority to have, and use a common seal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alter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be deemed to be a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 Organization within the meaning and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Voluntary Social Services Organizations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(Registration and Supervision) Act, No. 31 of 1980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80" w:lineRule="exact" w:before="3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an educational program which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personality development that includes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complete personality growth, knowledge, skills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attitudes and promotion of humanitarian ideas, good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values and morals in the society;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necessary assistance and support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low-income school students throughout the island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their educational activities effectively;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awareness workshops by experts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fields and conduct appropriate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seminars, workshops, mass educational programs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lectures for children and monks in education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throughout the island, in order to develop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of Sinhala, Mathematics, English,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Science, Sanskrit and Pali and other languages,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religious education and computer and technical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of school students and monks studying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Pirivenas;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level to improve the science education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 students and to establish and maintain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libraries at an optimal level for the use of school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students and monks studying in Pirivenas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contributing to issue books, magazines,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commemorative issues and periodicals, etc.;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support the school children and youth community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developing their educational, religious, cultural,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artistic and sports facilities irrespective of race,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religion, caste, make mecessary arrangements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Susarana Lanka Foundation (Incorporation)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6" w:lineRule="exact" w:before="716" w:after="184"/>
        <w:ind w:left="2516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and maintenance of their disciplinary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cultural values, implementation of suitable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leadership training programs for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necessary facilities and knowledge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create scientific and technical inventions among</w:t>
            </w:r>
          </w:p>
        </w:tc>
      </w:tr>
      <w:tr>
        <w:trPr>
          <w:trHeight w:hRule="exact" w:val="2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school children and to create new creations in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fields of literature, performing arts, cinema etc.,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also conduct competitions and exhibitions,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printing books, commemorative issues, magazines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regard;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programs, equipment and other facilities</w:t>
            </w:r>
          </w:p>
        </w:tc>
      </w:tr>
      <w:tr>
        <w:trPr>
          <w:trHeight w:hRule="exact" w:val="27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in order to provide school students with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theoretical and practical understanding of mass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 and the use of new media;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programs, competitions, etc. and to setup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model ecosystems and model farm to expand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theoretical and practical knowledge among school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students on sustainable agriculture and enviroment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conservation;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awareness programs to create the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awareness on children’s and adults’ rights in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 children and in the entire society and make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arrangements to promote the children’s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adults ’ rights;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and supply equipment and maintain</w:t>
            </w:r>
          </w:p>
        </w:tc>
      </w:tr>
      <w:tr>
        <w:trPr>
          <w:trHeight w:hRule="exact" w:val="2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early childhood development centers at the local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 to develop early childhood and primary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of the children from low-income families;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necessary facilities to promote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of disabled and mentally retarded children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autoSpaceDE w:val="0"/>
        <w:widowControl/>
        <w:spacing w:line="268" w:lineRule="exact" w:before="714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throughout the island, to maintain day care centers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hostels for them, to provide libraries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for the mental health of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residents;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financial support to the low-income and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poor needy patients living all over the island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prescribed medicines, provide refrigerating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facilities for the proper storage of the medicines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given to them on a daily basis and arrange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 at the regional level to provide nutritious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meals prepared in a safe manner to such patients on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free of charge basis and order to arrange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sources for the above activities act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coorperation with local and foreign people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working for the welfare of the  needy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patients;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with local and foreign organizations that have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similar objectives to the above objectives of the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body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scholarships, financial or other assistance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volunteers and other persons who are engaged in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1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necessary for the achievement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and sponsor conferences, seminars,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workshops, mass educational programs and lectures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abroad to promote and achieve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of he body corporate and to print, publish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of books, periodicals, leaflets,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newspapers and magazines which the body corporate</w:t>
      </w:r>
    </w:p>
    <w:p>
      <w:pPr>
        <w:autoSpaceDN w:val="0"/>
        <w:tabs>
          <w:tab w:pos="2422" w:val="left"/>
        </w:tabs>
        <w:autoSpaceDE w:val="0"/>
        <w:widowControl/>
        <w:spacing w:line="270" w:lineRule="exact" w:before="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deems appropriate for that purpose;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1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such other acts, deeds and things as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appropriate and necessary, incidental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 to the accomplishment of all or any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6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accordance with written law and in such manner so as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any conflict between the work of the Corporation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work being carried out simultaneously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or Department of the Government or any Provincial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any Local Authority.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1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Act,and the rules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7, the management and administration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any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 carried out by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Management (hereinafter referred to as “Executive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Board”) consisting of such number of office bearers as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specified by the  rules made under section 7.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members of the Executive Board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 holding office on the day immediately preceding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 shall, Subject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made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function as an Interim  Board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until the first Executive Board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elected in the manner provided for by rules made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7.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Suject to the provisions of section 7, the Interim Board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shall have the power to make rules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interim administration of the body corporate and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or appointment of the members of the first Executive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the body corporate, not inconsistent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40" w:lineRule="exact" w:before="722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000000"/>
          <w:sz w:val="20"/>
        </w:rPr>
        <w:t>the majority of its members 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First Executive Board of the body corporate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appointed or elected within one year of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Every office bearer of the Executive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the patrons and advisors, shall be 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for a  period of three years and any such office bearer,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patron or advisor shall be eligible for re-appointment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re-election after lapse of the said period of three years.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Reverend Galahitiyagoda Sumanarathana Thero,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founder of Susarana Lanka Foundation shall be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>of the Executive Board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the event of a vacancy occurring due to the death,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bearer, the Executive Board shall, having regard to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corporate, elect or appoint a person to fill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hold office only for the unexpired portion of the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92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body corporate shall have the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do, perform and execute the following acts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achievement of the objects of the body corporate–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purchase, rent, construct, renovate and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 lands or buildings which may be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purposes of the body corporate and to deal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or dispose of the same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Executive Board with a view to promoting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6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and perform or carry out, whether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directly of through any officer or agent authorized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behalf by the body corporate, all such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contracts or agreements as may be necessary for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attainment of the objects or the exercise of the</w:t>
            </w:r>
          </w:p>
        </w:tc>
      </w:tr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the body corporate;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funds with or without securities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receive grants, gifts or donations in cash or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kind: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Executive Board shall obtain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prior written approval of the Department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External Resources in respect of all foreign grants,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 or donations made to the body corporate;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  <w:tr>
        <w:trPr>
          <w:trHeight w:hRule="exact" w:val="2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maintain and close accounts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bank in Sri Lanka approved by the Executive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Board;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  <w:tr>
        <w:trPr>
          <w:trHeight w:hRule="exact" w:val="2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body corporate, in such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the Executive Board may determine;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having objects similar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objects of the body corporate or any real or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personal property with a view to promoting the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of the body corporate;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officers and servants of the body corporate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autoSpaceDE w:val="0"/>
        <w:widowControl/>
        <w:spacing w:line="268" w:lineRule="exact" w:before="70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exercise disciplinary control over them and to pay</w:t>
      </w:r>
    </w:p>
    <w:p>
      <w:pPr>
        <w:autoSpaceDN w:val="0"/>
        <w:autoSpaceDE w:val="0"/>
        <w:widowControl/>
        <w:spacing w:line="268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p>
      <w:pPr>
        <w:autoSpaceDN w:val="0"/>
        <w:autoSpaceDE w:val="0"/>
        <w:widowControl/>
        <w:spacing w:line="266" w:lineRule="exact" w:before="0" w:after="194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view to promoting the objectives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co-ordinate with other local and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having similar objects to that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train officers and servants in Sri Lanka or abroad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body corporate and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majority  of not less than two-thirds of the members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voting, to make rules,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law, for all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classification of membership, detemine the fees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payable by the members, admission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withdrwal,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Scholars, professionals, youth or any other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 apply for membership of the Foundation if they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willing to act in accordance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Foundation's objectives, code of conduct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constitiution. All such applications are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approval of the Chairman and the Executive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 The basic admission fee for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of the Foundation is Rs. 1000/-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Susarana Lanka Foundation (Incorporation)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712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fee for lifetime membership is  Rs. 5000/-.</w:t>
      </w:r>
    </w:p>
    <w:p>
      <w:pPr>
        <w:autoSpaceDN w:val="0"/>
        <w:autoSpaceDE w:val="0"/>
        <w:widowControl/>
        <w:spacing w:line="268" w:lineRule="exact" w:before="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fees are payable at the time of</w:t>
      </w:r>
    </w:p>
    <w:p>
      <w:pPr>
        <w:autoSpaceDN w:val="0"/>
        <w:autoSpaceDE w:val="0"/>
        <w:widowControl/>
        <w:spacing w:line="268" w:lineRule="exact" w:before="0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 for membership.</w:t>
      </w:r>
    </w:p>
    <w:p>
      <w:pPr>
        <w:autoSpaceDN w:val="0"/>
        <w:autoSpaceDE w:val="0"/>
        <w:widowControl/>
        <w:spacing w:line="266" w:lineRule="exact" w:before="264" w:after="206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Classification of Membership: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Membership : This includes</w:t>
            </w:r>
          </w:p>
        </w:tc>
      </w:tr>
      <w:tr>
        <w:trPr>
          <w:trHeight w:hRule="exact" w:val="40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who pay annual membership fees;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Lifetime Membership : This includes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who get membership by paying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certain membership fee as determined by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</w:tr>
      <w:tr>
        <w:trPr>
          <w:trHeight w:hRule="exact" w:val="53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Membership : This includes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awarded by the Chairman and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/ or Executive Board of the body corporate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members those who are done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excellent and outstanding services in</w:t>
            </w:r>
          </w:p>
        </w:tc>
      </w:tr>
      <w:tr>
        <w:trPr>
          <w:trHeight w:hRule="exact" w:val="26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so far, or who are deemed to be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able to do such service in the future, 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those who have performed in a specific field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several in accordance wiht the objectives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Foundation;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Associate Membership : This includes the</w:t>
            </w:r>
          </w:p>
        </w:tc>
      </w:tr>
      <w:tr>
        <w:trPr>
          <w:trHeight w:hRule="exact" w:val="27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those who are called for a specific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 under the body corporate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 themselves to a specific service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Foundation during a specific period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 This membership is offered upon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Chairman and / or Executive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and the members are exempted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membership fees;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tabs>
          <w:tab w:pos="3082" w:val="left"/>
        </w:tabs>
        <w:autoSpaceDE w:val="0"/>
        <w:widowControl/>
        <w:spacing w:line="274" w:lineRule="exact" w:before="710" w:after="4"/>
        <w:ind w:left="26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Youth Membership : This membership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offered to young men and women upon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Chairman and / or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is also exempted from membership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of the following office bearers of the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Board, vacation of or removal from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 bearers and the powers, duties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office bearers:–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74" w:lineRule="exact" w:before="5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Honourable Chairman / Executive Director;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Honourable Vice Chairman / Director;</w:t>
            </w:r>
          </w:p>
        </w:tc>
      </w:tr>
    </w:tbl>
    <w:p>
      <w:pPr>
        <w:autoSpaceDN w:val="0"/>
        <w:tabs>
          <w:tab w:pos="2558" w:val="left"/>
        </w:tabs>
        <w:autoSpaceDE w:val="0"/>
        <w:widowControl/>
        <w:spacing w:line="272" w:lineRule="exact" w:before="0" w:after="220"/>
        <w:ind w:left="24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Honourable Secretary / Director;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Honourable Deputy Secretary / Director;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(v) Honourable Treasurer / Director;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74" w:lineRule="exact" w:before="276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 Executive Board, or notices and agenda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meetings, the quorum and the conduct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Executive Board and the body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governing the manner of liaising and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coordinating with other local and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having objects similar to that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corporate; and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generally the management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the accomplishment of its’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dissolution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corporate.</w:t>
            </w:r>
          </w:p>
        </w:tc>
      </w:tr>
      <w:tr>
        <w:trPr>
          <w:trHeight w:hRule="exact" w:val="91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rule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manner, as a rule made under subsection (1) of this section.</w:t>
            </w:r>
          </w:p>
        </w:tc>
      </w:tr>
    </w:tbl>
    <w:p>
      <w:pPr>
        <w:autoSpaceDN w:val="0"/>
        <w:autoSpaceDE w:val="0"/>
        <w:widowControl/>
        <w:spacing w:line="238" w:lineRule="exact" w:before="178" w:after="148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>in the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and shall come into effect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38" w:lineRule="exact" w:before="9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at all times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subject to the 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9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Executive Board shall maintain a register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in which name, address and other essential details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be inscribed.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All moneys received by way of gifts, bequests,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donations, subscriptions, contributions, fees or grants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on account of the body corporate shall,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6(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be deposited in one or more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approved by the Executive Board to the credit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7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There shall be paid out of the Fund, all such sums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as are required to defray any expenditure incurred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in the exercise, performance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35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its income and expenditure, assets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audited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annually by the Auditor-General or a qualified auditor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Auditor-General in terms of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 of the Constitution and be certified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- General or such qualified auditor.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8" w:lineRule="exact" w:before="182" w:after="19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 Institute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Accountant,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 Sri Lanka or of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Executive Board shall prepare a report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activities of the body corporate for each financial year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submit such report together with the audited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accounts and a list of all assets and liabilitites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certified by the Auditor- General or a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referred to in section 10, to the Ministry of the Minister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1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Education under Article 44 or 45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 and to the Registrar of Voluntary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Organizations appointed under the Voluntary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Organizations (Registration and Supervision)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31 of 1980 before the expiration of six months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succeeding the year to which such report 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separate statement of accounts relating to the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local moneys received by the body corporate, the details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all contracts and agreements entered into by the dody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and the rules of the body corporate mede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during the financial year  shall  be  attached  to 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 referred  to  in 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Foundation on that day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body corporate for the purposes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be able and capable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to take and hold any property, movable or immovable,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testamentary disposition or otherwise,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property shall be held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this Act and subject to the 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made under section 7, with power to sell, mortgage,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exchange or otherwise dispose of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portion thereof shall be paid or transferred directly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indirectly by way of dividend, bonus or profit or otherwise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howsoever to the members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3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and one other office bearer of the Executive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or two office bearers of the Executive Board, whom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decided by the Executive Board and who shall sign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names to the instrument in token of their presence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signing shall be independent of the signing of any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Seal of the body corporate shall be in the custody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or an office bearer of the Executive Board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decided by such Executive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0" w:right="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distributed among the members of the body corporate,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Indeminity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shall be given or transferred to any other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Buddhist institution having objects similar to those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and which is by the rules thereof,  prohibited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distributing any income or property among its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this subsection (1) the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Buddhist institution shall be determined by the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with the approval of the Registrar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Voluntary Social Services Organzations appointed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Voluntary Social Services Organzations (Registration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Supervision) Act, No. 31 1980 immediately before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at a general meeting by the majority of votes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present.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person shall be liable in any suit or other legal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for any act done, or purporting to be done,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acts done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 faith in pursuance of the powers conferred by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or for the purpose of carrying out the porvisions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632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92"/>
        </w:trPr>
        <w:tc>
          <w:tcPr>
            <w:tcW w:type="dxa" w:w="7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5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58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