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38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6" w:lineRule="exact" w:before="410" w:after="0"/>
        <w:ind w:left="2016" w:right="2160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SUSARANA LANKA FOUNDATION </w:t>
      </w:r>
      <w:r>
        <w:rPr>
          <w:rFonts w:ascii="Times" w:hAnsi="Times" w:eastAsia="Times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332" w:lineRule="exact" w:before="270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06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90" w:after="0"/>
        <w:ind w:left="0" w:right="256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>Susarana Lanka Foundation</w:t>
      </w:r>
    </w:p>
    <w:p>
      <w:pPr>
        <w:autoSpaceDN w:val="0"/>
        <w:autoSpaceDE w:val="0"/>
        <w:widowControl/>
        <w:spacing w:line="244" w:lineRule="exact" w:before="19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136" w:after="0"/>
        <w:ind w:left="0" w:right="257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Presented by the Hon. Asanka Navarathna, M. P.</w:t>
      </w:r>
    </w:p>
    <w:p>
      <w:pPr>
        <w:autoSpaceDN w:val="0"/>
        <w:autoSpaceDE w:val="0"/>
        <w:widowControl/>
        <w:spacing w:line="244" w:lineRule="exact" w:before="0" w:after="0"/>
        <w:ind w:left="0" w:right="242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for Kurunegala District on 22nd of September, 2023</w:t>
      </w:r>
    </w:p>
    <w:p>
      <w:pPr>
        <w:autoSpaceDN w:val="0"/>
        <w:autoSpaceDE w:val="0"/>
        <w:widowControl/>
        <w:spacing w:line="266" w:lineRule="exact" w:before="216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14, 2023)</w:t>
      </w:r>
    </w:p>
    <w:p>
      <w:pPr>
        <w:autoSpaceDN w:val="0"/>
        <w:autoSpaceDE w:val="0"/>
        <w:widowControl/>
        <w:spacing w:line="244" w:lineRule="exact" w:before="23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156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76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205]</w:t>
      </w:r>
    </w:p>
    <w:p>
      <w:pPr>
        <w:autoSpaceDN w:val="0"/>
        <w:autoSpaceDE w:val="0"/>
        <w:widowControl/>
        <w:spacing w:line="212" w:lineRule="exact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5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118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398" w:after="166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USARANA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an Organization called and known as the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“Susarana Lanka Foundation” has heretofore been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in Sri Lanka for the purpose of effectually carrying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its objects and transacting all matters connected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said Organization according to the rules agreed to by its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WHEREAS the said Organization has heretofore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successfully carried out and transacted the several objects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matters for which it was established and has applied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incorporated and it will be for the public advantage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the said application: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88" w:after="1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78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 Susarana Lanka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(Incorporation) Act, No.   of 2023.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7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80" w:lineRule="exact" w:before="23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 and after the date of commencement of this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Susarana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Susarana Lanka Foundation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and shall hereafter be admitted as members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hereby constituted shall have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perpetual succession, under the name and style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“Susarana Lanka Foundation”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“body corporate”) and by that name may sue and be sued,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full power and authority to have, and use a common seal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alter the same at its pleasure.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be deemed to be a Voluntary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Service Organization within the meaning and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the Voluntary Social Services Organizations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(Registration and Supervision) Act, No. 31 of 1980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that Act shall apply to and in relation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the affairs 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1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0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4" w:val="left"/>
              </w:tabs>
              <w:autoSpaceDE w:val="0"/>
              <w:widowControl/>
              <w:spacing w:line="280" w:lineRule="exact" w:before="3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implement an educational program which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 personality development that includes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complete personality growth, knowledge, skills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attitudes and promotion of humanitarian ideas, good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values and morals in the society;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the necessary assistance and support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low-income school students throughout the island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carry out their educational activities effectively;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awareness workshops by experts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fields and conduct appropriate educational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seminars, workshops, mass educational programs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lectures for children and monks in education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throughout the island, in order to develop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knowledge of Sinhala, Mathematics, English,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Science, Sanskrit and Pali and other languages,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religious education and computer and technical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knowledge of school students and monks studying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Pirivenas;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information technology centers 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district level to improve the science education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school students and to establish and maintain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libraries at an optimal level for the use of school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students and monks studying in Pirivenas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contributing to issue books, magazines,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commemorative issues and periodicals, etc.;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support the school children and youth community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developing their educational, religious, cultural,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artistic and sports facilities irrespective of race,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religion, caste, make mecessary arrangements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44" w:lineRule="exact" w:before="0" w:after="0"/>
        <w:ind w:left="23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Susarana Lanka Foundation (Incorporation)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6" w:lineRule="exact" w:before="716" w:after="184"/>
        <w:ind w:left="2516" w:right="24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protection and maintenance of their disciplinary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cultural values, implementation of suitable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leadership training programs for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necessary facilities and knowledge to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create scientific and technical inventions among</w:t>
            </w:r>
          </w:p>
        </w:tc>
      </w:tr>
      <w:tr>
        <w:trPr>
          <w:trHeight w:hRule="exact" w:val="25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school children and to create new creations in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fields of literature, performing arts, cinema etc.,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also conduct competitions and exhibitions,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printing books, commemorative issues, magazines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that regard;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programs, equipment and other facilities</w:t>
            </w:r>
          </w:p>
        </w:tc>
      </w:tr>
      <w:tr>
        <w:trPr>
          <w:trHeight w:hRule="exact" w:val="27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in order to provide school students with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theoretical and practical understanding of mass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media and the use of new media;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programs, competitions, etc. and to setup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model ecosystems and model farm to expand</w:t>
            </w:r>
          </w:p>
        </w:tc>
      </w:tr>
      <w:tr>
        <w:trPr>
          <w:trHeight w:hRule="exact" w:val="2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theoretical and practical knowledge among school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students on sustainable agriculture and enviroment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conservation;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awareness programs to create the</w:t>
            </w:r>
          </w:p>
        </w:tc>
      </w:tr>
      <w:tr>
        <w:trPr>
          <w:trHeight w:hRule="exact" w:val="2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awareness on children’s and adults’ rights in 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school children and in the entire society and make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arrangements to promote the children’s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adults ’ rights;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and supply equipment and maintain</w:t>
            </w:r>
          </w:p>
        </w:tc>
      </w:tr>
      <w:tr>
        <w:trPr>
          <w:trHeight w:hRule="exact" w:val="26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early childhood development centers at the local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level to develop early childhood and primary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 of the children from low-income families;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the necessary facilities to promote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health of disabled and mentally retarded children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Susarana Lanka Foundation (Incorporation)</w:t>
      </w:r>
    </w:p>
    <w:p>
      <w:pPr>
        <w:autoSpaceDN w:val="0"/>
        <w:autoSpaceDE w:val="0"/>
        <w:widowControl/>
        <w:spacing w:line="268" w:lineRule="exact" w:before="714" w:after="18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throughout the island, to maintain day care centers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hostels for them, to provide libraries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for the mental health of those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residents;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financial support to the low-income and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"/>
        <w:ind w:left="242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poor needy patients living all over the island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prescribed medicines, provide refrigerating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facilities for the proper storage of the medicines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0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given to them on a daily basis and arrange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 at the regional level to provide nutritious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meals prepared in a safe manner to such patients on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free of charge basis and order to arrange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sources for the above activities act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coorperation with local and foreign people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organizations working for the welfare of the  needy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patients;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act with local and foreign organizations that have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similar objectives to the above objectives of the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08"/>
        <w:ind w:left="0" w:right="51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body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grant scholarships, financial or other assistance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volunteers and other persons who are engaged in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1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necessary for the achievement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objectives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and sponsor conferences, seminars,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workshops, mass educational programs and lectures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242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or abroad to promote and achieve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objectives of he body corporate and to print, publish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distribution of books, periodicals, leaflets,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newspapers and magazines which the body corporate</w:t>
      </w:r>
    </w:p>
    <w:p>
      <w:pPr>
        <w:autoSpaceDN w:val="0"/>
        <w:tabs>
          <w:tab w:pos="2422" w:val="left"/>
        </w:tabs>
        <w:autoSpaceDE w:val="0"/>
        <w:widowControl/>
        <w:spacing w:line="270" w:lineRule="exact" w:before="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deems appropriate for that purpose;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7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1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such other acts, deeds and things as may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appropriate and necessary, incidental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conducive to the accomplishment of all or any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6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body corporate shall be carried out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accordance with written law and in such manner so as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8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create any conflict between the work of the Corporation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 work being carried out simultaneously by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Ministry or Department of the Government or any Provincial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5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or any Local Authority.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78" w:lineRule="exact" w:before="11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Act,and the rules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7, the management and administration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any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Provincial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affairs of the body corporate shall be  carried out by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Management (hereinafter referred to as “Executive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Board”) consisting of such number of office bearers as may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specified by the  rules made under section 7.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members of the Executive Board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Foundation  holding office on the day immediately preceding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commencement of this Act shall, Subject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 made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function as an Interim  Board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 until the first Executive Board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or elected in the manner provided for by rules made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7.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Suject to the provisions of section 7, the Interim Board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 shall have the power to make rules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interim administration of the body corporate and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election or appointment of the members of the first Executive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the body corporate, not inconsistent with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 or any other written law.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Susarana Lanka Foundation (Incorporation)</w:t>
      </w:r>
    </w:p>
    <w:p>
      <w:pPr>
        <w:autoSpaceDN w:val="0"/>
        <w:tabs>
          <w:tab w:pos="1942" w:val="left"/>
        </w:tabs>
        <w:autoSpaceDE w:val="0"/>
        <w:widowControl/>
        <w:spacing w:line="240" w:lineRule="exact" w:before="722" w:after="15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decision of the Interim Board shall be taken by </w:t>
      </w:r>
      <w:r>
        <w:rPr>
          <w:rFonts w:ascii="Times" w:hAnsi="Times" w:eastAsia="Times"/>
          <w:b w:val="0"/>
          <w:i w:val="0"/>
          <w:color w:val="000000"/>
          <w:sz w:val="20"/>
        </w:rPr>
        <w:t>the majority of its members present at such meeting.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30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82" w:right="125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First Executive Board of the body corporate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appointed or elected within one year of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 Every office bearer of the Executive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including the patrons and advisors, shall be appointed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elected for a  period of three years and any such office bearer,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patron or advisor shall be eligible for re-appointment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re-election after lapse of the said period of three years.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1702" w:right="25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Reverend Galahitiyagoda Sumanarathana Thero,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founder of Susarana Lanka Foundation shall be the Chairman </w:t>
      </w:r>
      <w:r>
        <w:rPr>
          <w:rFonts w:ascii="Times" w:hAnsi="Times" w:eastAsia="Times"/>
          <w:b w:val="0"/>
          <w:i w:val="0"/>
          <w:color w:val="000000"/>
          <w:sz w:val="20"/>
        </w:rPr>
        <w:t>of the Executive Board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In the event of a vacancy occurring due to the death,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resignation, incapacity or removal from office of an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bearer, the Executive Board shall, having regard to the rules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corporate, elect or appoint a person to fill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vacancy.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person elected or appointed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hold office only for the unexpired portion of the term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 of the member whom he succeeds.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692" w:val="left"/>
              </w:tabs>
              <w:autoSpaceDE w:val="0"/>
              <w:widowControl/>
              <w:spacing w:line="236" w:lineRule="exact" w:before="15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the provisions of this Act and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written law, the body corporate shall have the power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do, perform and execute the following acts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achievement of the objects of the body corporate–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3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purchase, rent, construct, renovate and otherwise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obtain lands or buildings which may be required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purposes of the body corporate and to deal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or dispose of the same as may be determined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Executive Board with a view to promoting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2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6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enter into and perform or carry out, whether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directly of through any officer or agent authorized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that behalf by the body corporate, all such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contracts or agreements as may be necessary for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attainment of the objects or the exercise of the</w:t>
            </w:r>
          </w:p>
        </w:tc>
      </w:tr>
      <w:tr>
        <w:trPr>
          <w:trHeight w:hRule="exact" w:val="3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of the body corporate;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borrow or raise funds with or without securities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receive grants, gifts or donations in cash or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kind: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the Executive Board shall obtain</w:t>
            </w:r>
          </w:p>
        </w:tc>
      </w:tr>
      <w:tr>
        <w:trPr>
          <w:trHeight w:hRule="exact" w:val="2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prior written approval of the Department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External Resources in respect of all foreign grants,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gifts or donations made to the body corporate;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buy, sell and issue bills of exchange, cheques,</w:t>
            </w:r>
          </w:p>
        </w:tc>
      </w:tr>
      <w:tr>
        <w:trPr>
          <w:trHeight w:hRule="exact" w:val="26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promissory notes and other negotiable instruments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open, operate, maintain and close accounts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bank in Sri Lanka approved by the Executive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Board;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that are not immediately required</w:t>
            </w:r>
          </w:p>
        </w:tc>
      </w:tr>
      <w:tr>
        <w:trPr>
          <w:trHeight w:hRule="exact" w:val="24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the body corporate, in such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as the Executive Board may determine;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any lawful trust having objects similar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objects of the body corporate or any real or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personal property with a view to promoting the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objects of the body corporate;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 employ, dismiss or terminate the services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officers and servants of the body corporate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Susarana Lanka Foundation (Incorporation)</w:t>
      </w:r>
    </w:p>
    <w:p>
      <w:pPr>
        <w:autoSpaceDN w:val="0"/>
        <w:autoSpaceDE w:val="0"/>
        <w:widowControl/>
        <w:spacing w:line="268" w:lineRule="exact" w:before="706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exercise disciplinary control over them and to pay</w:t>
      </w:r>
    </w:p>
    <w:p>
      <w:pPr>
        <w:autoSpaceDN w:val="0"/>
        <w:autoSpaceDE w:val="0"/>
        <w:widowControl/>
        <w:spacing w:line="268" w:lineRule="exact" w:before="0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them such salaries, allowances and gratuities as may</w:t>
      </w:r>
    </w:p>
    <w:p>
      <w:pPr>
        <w:autoSpaceDN w:val="0"/>
        <w:autoSpaceDE w:val="0"/>
        <w:widowControl/>
        <w:spacing w:line="266" w:lineRule="exact" w:before="0" w:after="194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 determined by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lectures, seminars and conferences with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7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view to promoting the objectives of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liaise and co-ordinate with other local and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having similar objects to that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train officers and servants in Sri Lanka or abroad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It shall be lawful for the body corporate,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of the body corporate and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majority  of not less than two-thirds of the members present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voting, to make rules, not inconsistent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 or any other written law, for all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 matters:—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classification of membership, detemine the fees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payable by the members, admission of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withdrwal, expulsion or resignation of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Scholars, professionals, youth or any other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 apply for membership of the Foundation if they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willing to act in accordance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Foundation's objectives, code of conduct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constitiution. All such applications are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approval of the Chairman and the Executive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Board. The basic admission fee for 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membership of the Foundation is Rs. 1000/-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44" w:lineRule="exact" w:before="0" w:after="0"/>
        <w:ind w:left="23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Susarana Lanka Foundation (Incorporation)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6" w:lineRule="exact" w:before="712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fee for lifetime membership is  Rs. 5000/-.</w:t>
      </w:r>
    </w:p>
    <w:p>
      <w:pPr>
        <w:autoSpaceDN w:val="0"/>
        <w:autoSpaceDE w:val="0"/>
        <w:widowControl/>
        <w:spacing w:line="268" w:lineRule="exact" w:before="0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Membership fees are payable at the time of</w:t>
      </w:r>
    </w:p>
    <w:p>
      <w:pPr>
        <w:autoSpaceDN w:val="0"/>
        <w:autoSpaceDE w:val="0"/>
        <w:widowControl/>
        <w:spacing w:line="268" w:lineRule="exact" w:before="0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application for membership.</w:t>
      </w:r>
    </w:p>
    <w:p>
      <w:pPr>
        <w:autoSpaceDN w:val="0"/>
        <w:autoSpaceDE w:val="0"/>
        <w:widowControl/>
        <w:spacing w:line="266" w:lineRule="exact" w:before="264" w:after="206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Classification of Membership: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Membership : This includes</w:t>
            </w:r>
          </w:p>
        </w:tc>
      </w:tr>
      <w:tr>
        <w:trPr>
          <w:trHeight w:hRule="exact" w:val="40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4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who pay annual membership fees;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Lifetime Membership : This includes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who get membership by paying a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certain membership fee as determined by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corporate;</w:t>
            </w:r>
          </w:p>
        </w:tc>
      </w:tr>
      <w:tr>
        <w:trPr>
          <w:trHeight w:hRule="exact" w:val="53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Honorary Membership : This includes the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membership awarded by the Chairman and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/ or Executive Board of the body corporate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members those who are done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excellent and outstanding services in</w:t>
            </w:r>
          </w:p>
        </w:tc>
      </w:tr>
      <w:tr>
        <w:trPr>
          <w:trHeight w:hRule="exact" w:val="26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9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society so far, or who are deemed to be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able to do such service in the future, or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those who have performed in a specific field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several in accordance wiht the objectives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Foundation;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Associate Membership : This includes the</w:t>
            </w:r>
          </w:p>
        </w:tc>
      </w:tr>
      <w:tr>
        <w:trPr>
          <w:trHeight w:hRule="exact" w:val="27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those who are called for a specific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training under the body corporate or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 themselves to a specific service of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Foundation during a specific period of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time. This membership is offered upon the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approval of the Chairman and / or Executive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and the members are exempted from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membership fees;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Susarana Lanka Foundation (Incorporation)</w:t>
      </w:r>
    </w:p>
    <w:p>
      <w:pPr>
        <w:autoSpaceDN w:val="0"/>
        <w:tabs>
          <w:tab w:pos="3082" w:val="left"/>
        </w:tabs>
        <w:autoSpaceDE w:val="0"/>
        <w:widowControl/>
        <w:spacing w:line="274" w:lineRule="exact" w:before="710" w:after="4"/>
        <w:ind w:left="26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Youth Membership : This membership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offered to young men and women upon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Chairman and / or Executive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is also exempted from membership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fees;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election of the following office bearers of the</w:t>
            </w:r>
          </w:p>
        </w:tc>
      </w:tr>
    </w:tbl>
    <w:p>
      <w:pPr>
        <w:autoSpaceDN w:val="0"/>
        <w:autoSpaceDE w:val="0"/>
        <w:widowControl/>
        <w:spacing w:line="272" w:lineRule="exact" w:before="0" w:after="2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Board, vacation of or removal from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 bearers and the powers, duties and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office bearers:–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2" w:val="left"/>
              </w:tabs>
              <w:autoSpaceDE w:val="0"/>
              <w:widowControl/>
              <w:spacing w:line="274" w:lineRule="exact" w:before="52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Honourable Chairman / Executive Director;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 Honourable Vice Chairman / Director;</w:t>
            </w:r>
          </w:p>
        </w:tc>
      </w:tr>
    </w:tbl>
    <w:p>
      <w:pPr>
        <w:autoSpaceDN w:val="0"/>
        <w:tabs>
          <w:tab w:pos="2558" w:val="left"/>
        </w:tabs>
        <w:autoSpaceDE w:val="0"/>
        <w:widowControl/>
        <w:spacing w:line="272" w:lineRule="exact" w:before="0" w:after="220"/>
        <w:ind w:left="24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Honourable Secretary / Director;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Honourable Deputy Secretary / Director;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(v) Honourable Treasurer / Director;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various officers, agents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servants of the body corporate;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74" w:lineRule="exact" w:before="276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to be followed for the summoning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body corporate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 Executive Board, or notices and agenda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meetings, the quorum and the conduct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qualifications and disqualifications to be a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the Executive Board and the body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68" w:lineRule="exact" w:before="4" w:after="0"/>
        <w:ind w:left="0" w:right="4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7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11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governing the manner of liaising and</w:t>
            </w:r>
          </w:p>
        </w:tc>
      </w:tr>
      <w:tr>
        <w:trPr>
          <w:trHeight w:hRule="exact" w:val="82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8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coordinating with other local and 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institutions having objects similar to that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corporate; and</w:t>
            </w:r>
          </w:p>
        </w:tc>
      </w:tr>
      <w:tr>
        <w:trPr>
          <w:trHeight w:hRule="exact" w:val="9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0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generally the management of the affairs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the accomplishment of its’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dissolution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corporate.</w:t>
            </w:r>
          </w:p>
        </w:tc>
      </w:tr>
      <w:tr>
        <w:trPr>
          <w:trHeight w:hRule="exact" w:val="918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Any rule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may be amended,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rescinded at a like meeting and in like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manner, as a rule made under subsection (1) of this section.</w:t>
            </w:r>
          </w:p>
        </w:tc>
      </w:tr>
    </w:tbl>
    <w:p>
      <w:pPr>
        <w:autoSpaceDN w:val="0"/>
        <w:autoSpaceDE w:val="0"/>
        <w:widowControl/>
        <w:spacing w:line="238" w:lineRule="exact" w:before="178" w:after="148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subsection (1) 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>in the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and shall come into effect on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publicaion.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38" w:lineRule="exact" w:before="90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 at all times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subject to the rules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9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2" w:val="left"/>
              </w:tabs>
              <w:autoSpaceDE w:val="0"/>
              <w:widowControl/>
              <w:spacing w:line="278" w:lineRule="exact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Executive Board shall maintain a register of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in which name, address and other essential details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members be inscribed.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6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All moneys received by way of gifts, bequests,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donations, subscriptions, contributions, fees or grants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on account of the body corporate shall, subject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section 6(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), be deposited in one or more banks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approved by the Executive Board to the credit of the body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6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2" w:after="0"/>
              <w:ind w:left="78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There shall be paid out of the Fund, all such sums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 as are required to defray any expenditure incurred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 in the exercise, performance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powers, duties and functions under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35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its income and expenditure, assets and liabilities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other transactions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accounts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be audited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annually by the Auditor-General or a qualified auditor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by Auditor-General in terms of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154 of the Constitution and be certified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 - General or such qualified auditor.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58" w:lineRule="exact" w:before="182" w:after="19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For the purposes of this section,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who, being a member of the Institute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Chartered Accountants of Sri Lanka or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institute established by law, possesses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 to practice as an Accountant, issued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of such institute;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Accountants, each of the resident partners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which, being a member of the Institute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Chartered Accountants of  Sri Lanka or of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 established by law, possesses a certificate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practice as an Accountant, issued by the Council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Executive Board shall prepare a report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activities of the body corporate for each financial year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submit such report together with the audited statement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accounts and a list of all assets and liabilitites of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certified by the Auditor- General or a qualified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 referred to in section 10, to the Ministry of the Minister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1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Education under Article 44 or 45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 and to the Registrar of Voluntary Social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 Organizations appointed under the Voluntary Social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 Organizations (Registration and Supervision)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31 of 1980 before the expiration of six months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 succeeding the year to which such report relates.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separate statement of accounts relating to the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local moneys received by the body corporate, the details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all contracts and agreements entered into by the dody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and the rules of the body corporate mede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during the financial year  shall  be  attached  to 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 referred  to  in subsection (1).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immediately preceding the date of commencement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 and subscriptions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contributions payable to the Foundation on that day shall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to the body corporate for the purposes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this Act and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 be able and capable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to take and hold any property, movable or immovable,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gift, testamentary disposition or otherwise,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property shall be held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this Act and subject to the rules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made under section 7, with power to sell, mortgage,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lease, exchange or otherwise dispose of the same.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 moneys and property of the body corporate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moneys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portion thereof shall be paid or transferred directly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indirectly by way of dividend, bonus or profit or otherwise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howsoever to the members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35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body corporate shall not be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Secretary and one other office bearer of the Executive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or two office bearers of the Executive Board, whom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decided by the Executive Board and who shall sign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 names to the instrument in token of their presence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signing shall be independent of the signing of any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witness.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Seal of the body corporate shall be in the custody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Secretary or an office bearer of the Executive Board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decided by such Executive Board.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0" w:right="2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body corporate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remains after the satisfaction of all its debts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distributed among the members of the body corporate,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Indeminity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shall be given or transferred to any other appropriate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Buddhist institution having objects similar to those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 and which is by the rules thereof,  prohibited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distributing any income or property among its members.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For the purposes of this subsection (1) the appropriate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Buddhist institution shall be determined by the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 with the approval of the Registrar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Voluntary Social Services Organzations appointed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Voluntary Social Services Organzations (Registration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Supervision) Act, No. 31 1980 immediately before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dissolution at a general meeting by the majority of votes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present.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11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person shall be liable in any suit or other legal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 for any act done, or purporting to be done,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acts done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good faith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good faith in pursuance of the powers conferred by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or for the purpose of carrying out the porvisions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1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632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5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1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92"/>
        </w:trPr>
        <w:tc>
          <w:tcPr>
            <w:tcW w:type="dxa" w:w="7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55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Susarana Lanka Foundation (Incorporation)</w:t>
            </w:r>
          </w:p>
        </w:tc>
      </w:tr>
    </w:tbl>
    <w:p>
      <w:pPr>
        <w:autoSpaceDN w:val="0"/>
        <w:autoSpaceDE w:val="0"/>
        <w:widowControl/>
        <w:spacing w:line="150" w:lineRule="exact" w:before="58" w:after="0"/>
        <w:ind w:left="0" w:right="34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