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6"/>
        <w:ind w:left="0" w:right="0"/>
      </w:pPr>
    </w:p>
    <w:p>
      <w:pPr>
        <w:autoSpaceDN w:val="0"/>
        <w:autoSpaceDE w:val="0"/>
        <w:widowControl/>
        <w:spacing w:line="382" w:lineRule="exact" w:before="34" w:after="0"/>
        <w:ind w:left="1872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THE  GAZETTE  OF  THE DEMOCRATIC </w:t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SOCIALIST  REPUBLIC  OF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>SRI  LANKA</w:t>
      </w:r>
    </w:p>
    <w:p>
      <w:pPr>
        <w:autoSpaceDN w:val="0"/>
        <w:autoSpaceDE w:val="0"/>
        <w:widowControl/>
        <w:spacing w:line="332" w:lineRule="exact" w:before="208" w:after="0"/>
        <w:ind w:left="0" w:right="314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Part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 II of October 13, 2023</w:t>
      </w:r>
    </w:p>
    <w:p>
      <w:pPr>
        <w:autoSpaceDN w:val="0"/>
        <w:autoSpaceDE w:val="0"/>
        <w:widowControl/>
        <w:spacing w:line="332" w:lineRule="exact" w:before="196" w:after="0"/>
        <w:ind w:left="0" w:right="364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194" w:after="0"/>
        <w:ind w:left="0" w:right="342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(Issued on 16.10.2023)</w:t>
      </w:r>
    </w:p>
    <w:p>
      <w:pPr>
        <w:autoSpaceDN w:val="0"/>
        <w:autoSpaceDE w:val="0"/>
        <w:widowControl/>
        <w:spacing w:line="240" w:lineRule="auto" w:before="234" w:after="0"/>
        <w:ind w:left="0" w:right="37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4550" cy="11455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45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132" w:after="0"/>
        <w:ind w:left="15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THE  RECOGNITION   AND   ENFORCEMENT   OF   INTERNATIONAL</w:t>
      </w:r>
    </w:p>
    <w:p>
      <w:pPr>
        <w:autoSpaceDN w:val="0"/>
        <w:autoSpaceDE w:val="0"/>
        <w:widowControl/>
        <w:spacing w:line="276" w:lineRule="exact" w:before="26" w:after="0"/>
        <w:ind w:left="224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SETTLEMENT   AGREEMENTS   RESULTING   FROM</w:t>
      </w:r>
    </w:p>
    <w:p>
      <w:pPr>
        <w:autoSpaceDN w:val="0"/>
        <w:autoSpaceDE w:val="0"/>
        <w:widowControl/>
        <w:spacing w:line="332" w:lineRule="exact" w:before="100" w:after="0"/>
        <w:ind w:left="0" w:right="436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A</w:t>
      </w:r>
    </w:p>
    <w:p>
      <w:pPr>
        <w:autoSpaceDN w:val="0"/>
        <w:autoSpaceDE w:val="0"/>
        <w:widowControl/>
        <w:spacing w:line="332" w:lineRule="exact" w:before="8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42" w:after="0"/>
        <w:ind w:left="1440" w:right="129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 ACT to give effect to the United Nations Convention on International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Settlement Agreements resulting from Mediation known as the Singapore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Convention on Mediation; to make Provisions for the Recognition and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Enforcement of International Settlement Agreements; and to provide for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matters connected therewith or incidental thereto.</w:t>
      </w:r>
    </w:p>
    <w:p>
      <w:pPr>
        <w:autoSpaceDN w:val="0"/>
        <w:autoSpaceDE w:val="0"/>
        <w:widowControl/>
        <w:spacing w:line="244" w:lineRule="exact" w:before="40" w:after="0"/>
        <w:ind w:left="0" w:right="238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Ordered to be published by the Minister of  justice,</w:t>
      </w:r>
    </w:p>
    <w:p>
      <w:pPr>
        <w:autoSpaceDN w:val="0"/>
        <w:autoSpaceDE w:val="0"/>
        <w:widowControl/>
        <w:spacing w:line="244" w:lineRule="exact" w:before="44" w:after="0"/>
        <w:ind w:left="0" w:right="273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Prison Affairs and Constitutional Reforms</w:t>
      </w:r>
    </w:p>
    <w:p>
      <w:pPr>
        <w:autoSpaceDN w:val="0"/>
        <w:autoSpaceDE w:val="0"/>
        <w:widowControl/>
        <w:spacing w:line="197" w:lineRule="auto" w:before="156" w:after="0"/>
        <w:ind w:left="0" w:right="2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PRINTED</w:t>
      </w:r>
      <w:r>
        <w:rPr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  <w:r>
        <w:rPr>
          <w:rFonts w:ascii="Calibri" w:hAnsi="Calibri" w:eastAsia="Calibri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1"/>
        </w:rPr>
        <w:t>SRI</w:t>
      </w:r>
      <w:r>
        <w:rPr>
          <w:rFonts w:ascii="Times" w:hAnsi="Times" w:eastAsia="Times"/>
          <w:b w:val="0"/>
          <w:i w:val="0"/>
          <w:color w:val="000000"/>
          <w:sz w:val="11"/>
        </w:rPr>
        <w:t>LANKA.</w:t>
      </w:r>
    </w:p>
    <w:p>
      <w:pPr>
        <w:autoSpaceDN w:val="0"/>
        <w:autoSpaceDE w:val="0"/>
        <w:widowControl/>
        <w:spacing w:line="197" w:lineRule="auto" w:before="32" w:after="0"/>
        <w:ind w:left="0" w:right="2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TO</w:t>
      </w:r>
      <w:r>
        <w:rPr>
          <w:rFonts w:ascii="Times" w:hAnsi="Times" w:eastAsia="Times"/>
          <w:b w:val="0"/>
          <w:i w:val="0"/>
          <w:color w:val="000000"/>
          <w:sz w:val="11"/>
        </w:rPr>
        <w:t>BE</w:t>
      </w:r>
      <w:r>
        <w:rPr>
          <w:rFonts w:ascii="Times" w:hAnsi="Times" w:eastAsia="Times"/>
          <w:b w:val="0"/>
          <w:i w:val="0"/>
          <w:color w:val="000000"/>
          <w:sz w:val="11"/>
        </w:rPr>
        <w:t>PURCHASED</w:t>
      </w:r>
      <w:r>
        <w:rPr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PUBLICATIONS</w:t>
      </w:r>
      <w:r>
        <w:rPr>
          <w:rFonts w:ascii="Times" w:hAnsi="Times" w:eastAsia="Times"/>
          <w:b w:val="0"/>
          <w:i w:val="0"/>
          <w:color w:val="000000"/>
          <w:sz w:val="11"/>
        </w:rPr>
        <w:t>BUREAU</w:t>
      </w:r>
      <w:r>
        <w:rPr>
          <w:rFonts w:ascii="Calibri" w:hAnsi="Calibri" w:eastAsia="Calibri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1"/>
        </w:rPr>
        <w:t>COLOMBO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tabs>
          <w:tab w:pos="5574" w:val="left"/>
        </w:tabs>
        <w:autoSpaceDE w:val="0"/>
        <w:widowControl/>
        <w:spacing w:line="278" w:lineRule="exact" w:before="202" w:after="0"/>
        <w:ind w:left="148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Price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: Rs. 20.00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Postage :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Rs. 50.00</w:t>
      </w:r>
    </w:p>
    <w:p>
      <w:pPr>
        <w:autoSpaceDN w:val="0"/>
        <w:tabs>
          <w:tab w:pos="7020" w:val="left"/>
        </w:tabs>
        <w:autoSpaceDE w:val="0"/>
        <w:widowControl/>
        <w:spacing w:line="240" w:lineRule="auto" w:before="0" w:after="0"/>
        <w:ind w:left="146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This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Gazette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Supplement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can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be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downloaded from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144" w:right="72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Agreements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Resulting from Mediation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720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8" w:lineRule="exact" w:before="60" w:after="0"/>
        <w:ind w:left="178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L.D.-O 42/2022</w:t>
      </w:r>
    </w:p>
    <w:p>
      <w:pPr>
        <w:autoSpaceDN w:val="0"/>
        <w:tabs>
          <w:tab w:pos="1782" w:val="left"/>
          <w:tab w:pos="2022" w:val="left"/>
        </w:tabs>
        <w:autoSpaceDE w:val="0"/>
        <w:widowControl/>
        <w:spacing w:line="280" w:lineRule="exact" w:before="180" w:after="0"/>
        <w:ind w:left="1538" w:right="2304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N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 A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CT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TO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GIVE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EFFECT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TO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THE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U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NITED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N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ATIONS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C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 xml:space="preserve">ONVENTION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ON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I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NTERNATIONAL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S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ETTLEMENT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A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GREEMENTS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RESULTING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 xml:space="preserve">FROM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M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EDIATION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KNOWN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AS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THE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S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INGAPORE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C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ONVENTION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 xml:space="preserve">ON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M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EDIATION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; 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TO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MAKE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PROVISIONS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FOR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THE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R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ECOGNITION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 xml:space="preserve">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E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NFORCEMENT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OF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I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NTERNATIONAL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S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ETTLEMENT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A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GREEMENTS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82" w:lineRule="exact" w:before="0" w:after="0"/>
        <w:ind w:left="1782" w:right="2304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AND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TO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PROVIDE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FOR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MATTERS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CONNECTED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THEREWITH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 xml:space="preserve">OR 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INCIDENTAL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THERETO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1782" w:val="left"/>
          <w:tab w:pos="2022" w:val="left"/>
          <w:tab w:pos="6736" w:val="left"/>
        </w:tabs>
        <w:autoSpaceDE w:val="0"/>
        <w:widowControl/>
        <w:spacing w:line="280" w:lineRule="exact" w:before="270" w:after="0"/>
        <w:ind w:left="1494" w:right="1584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WHEREAS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Convention on International Settlement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Agreements Resulting from Mediation (hereinafter referred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as the “Convention”)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adopted by the United Nations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General Assembly on the Twentieth day of December Two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Thousand and Eighteen, and subsequently came into force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  the Twelfth day of September Two Thousand and Twenty:</w:t>
      </w:r>
    </w:p>
    <w:p>
      <w:pPr>
        <w:autoSpaceDN w:val="0"/>
        <w:autoSpaceDE w:val="0"/>
        <w:widowControl/>
        <w:spacing w:line="280" w:lineRule="exact" w:before="282" w:after="230"/>
        <w:ind w:left="1440" w:right="241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AND WHEREAS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having recognised the value of mediation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 method for settling commercial disputes amicably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noting the increase of the use of mediation internationally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nationally, the Government of Sri Lanka signed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Convention on the Seventh day of August Two Thousand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Nineteen: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1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2" w:after="0"/>
              <w:ind w:left="62" w:right="1152" w:firstLine="24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AND WHEREAS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establishing a legal framework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international mediation settlements under the Convention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1782" w:right="241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would reduce the instances where disputes result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termination of commercial relationships and contribute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development of harmonious international economic relations:</w:t>
      </w:r>
    </w:p>
    <w:p>
      <w:pPr>
        <w:autoSpaceDN w:val="0"/>
        <w:tabs>
          <w:tab w:pos="1782" w:val="left"/>
          <w:tab w:pos="2022" w:val="left"/>
        </w:tabs>
        <w:autoSpaceDE w:val="0"/>
        <w:widowControl/>
        <w:spacing w:line="298" w:lineRule="exact" w:before="296" w:after="0"/>
        <w:ind w:left="154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AND WHEREAS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it is necessary for the Government of Sri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Lanka to enact legislative provisions to give effect to Sri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Lanka’s obligations under the Convention: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144" w:right="72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Agreements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Resulting from Mediation</w:t>
            </w:r>
          </w:p>
        </w:tc>
      </w:tr>
    </w:tbl>
    <w:p>
      <w:pPr>
        <w:autoSpaceDN w:val="0"/>
        <w:tabs>
          <w:tab w:pos="1918" w:val="left"/>
        </w:tabs>
        <w:autoSpaceDE w:val="0"/>
        <w:widowControl/>
        <w:spacing w:line="298" w:lineRule="exact" w:before="78" w:after="134"/>
        <w:ind w:left="1678" w:right="2448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NOW THEREFORE BE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it enacted by the Parliament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1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This Act may be cited as the Recognition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Enforcement of International Settlement Agreements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operation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Resulting from Mediation Act, No.   of 2023.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2" w:lineRule="exact" w:before="98" w:after="120"/>
        <w:ind w:left="1678" w:right="25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provisions of this Act shall come into operation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such date as the Minister may,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certify as the date on which the Convention enters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into force in respect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8" w:after="0"/>
              <w:ind w:left="27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provisions of this Act shall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Act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section 3, apply to a written settlement agreement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6" w:lineRule="exact" w:before="0" w:after="0"/>
        <w:ind w:left="1296" w:right="253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is international by nature at the time of its conclusion,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which has resulted from mediation and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concluded by parties to resolve a commercial dispute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(hereinafter referred to as the “international settlement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agreement”).</w:t>
      </w:r>
    </w:p>
    <w:p>
      <w:pPr>
        <w:autoSpaceDN w:val="0"/>
        <w:autoSpaceDE w:val="0"/>
        <w:widowControl/>
        <w:spacing w:line="300" w:lineRule="exact" w:before="160" w:after="110"/>
        <w:ind w:left="1296" w:right="253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application of the provisions of this Act to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international settlement agreement shall be subject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extent specified in such reservations as may be declared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Article 8 of the Convention by the Government of Sri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76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4" w:after="0"/>
              <w:ind w:left="15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provisions of this Act shall not apply to-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Settlements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excluded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agreements that have been entered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from the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scope of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9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into, to resolve a dispute in relation to –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this Act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9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 a transaction engaged in by one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parties who is a consumer, for personal,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6" w:after="0"/>
        <w:ind w:left="0" w:right="352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family or household purposes;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2526" w:val="left"/>
          <w:tab w:pos="6478" w:val="left"/>
        </w:tabs>
        <w:autoSpaceDE w:val="0"/>
        <w:widowControl/>
        <w:spacing w:line="210" w:lineRule="exact" w:before="0" w:after="0"/>
        <w:ind w:left="1692" w:right="2304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The Recognition and Enforcement of International Settlement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Agreements Resulting from Mediation</w:t>
      </w:r>
    </w:p>
    <w:p>
      <w:pPr>
        <w:autoSpaceDN w:val="0"/>
        <w:tabs>
          <w:tab w:pos="2852" w:val="left"/>
          <w:tab w:pos="3112" w:val="left"/>
        </w:tabs>
        <w:autoSpaceDE w:val="0"/>
        <w:widowControl/>
        <w:spacing w:line="306" w:lineRule="exact" w:before="78" w:after="144"/>
        <w:ind w:left="233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family matters, inheritance, or employment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matters;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6" w:after="0"/>
              <w:ind w:left="0" w:right="2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agreements –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that have been concluded or recorded as a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" w:after="0"/>
              <w:ind w:left="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judgement of a court, in the course of judicial</w:t>
            </w:r>
          </w:p>
        </w:tc>
      </w:tr>
    </w:tbl>
    <w:p>
      <w:pPr>
        <w:autoSpaceDN w:val="0"/>
        <w:autoSpaceDE w:val="0"/>
        <w:widowControl/>
        <w:spacing w:line="292" w:lineRule="exact" w:before="0" w:after="150"/>
        <w:ind w:left="285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proceedings and are enforceable as a judgement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 court;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2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that are enforceable as an arbitral award.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4" w:after="0"/>
              <w:ind w:left="6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settlement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27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 settlement agreement shall be international by nature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 the time of its conclusion where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408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 least two of the parties to the settlement agreement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238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have their places of business in different States; or</w:t>
      </w:r>
    </w:p>
    <w:p>
      <w:pPr>
        <w:autoSpaceDN w:val="0"/>
        <w:tabs>
          <w:tab w:pos="2152" w:val="left"/>
          <w:tab w:pos="2574" w:val="left"/>
        </w:tabs>
        <w:autoSpaceDE w:val="0"/>
        <w:widowControl/>
        <w:spacing w:line="312" w:lineRule="exact" w:before="164" w:after="0"/>
        <w:ind w:left="153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(b)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State in which the parties to the settlement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agreement have their places of business is different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from either –</w:t>
      </w:r>
    </w:p>
    <w:p>
      <w:pPr>
        <w:autoSpaceDN w:val="0"/>
        <w:tabs>
          <w:tab w:pos="2852" w:val="left"/>
          <w:tab w:pos="2854" w:val="left"/>
        </w:tabs>
        <w:autoSpaceDE w:val="0"/>
        <w:widowControl/>
        <w:spacing w:line="312" w:lineRule="exact" w:before="158" w:after="144"/>
        <w:ind w:left="250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State in which a substantial part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obligations under the settlement agreement is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performed;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State with which the subject matter of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16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Validity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settlement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 is most closely connected.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29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Every international settlement agreement shall be valid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enforceable unless a decree of the High Court is refused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upon application made under section 6, and the obligations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72" w:val="left"/>
        </w:tabs>
        <w:autoSpaceDE w:val="0"/>
        <w:widowControl/>
        <w:spacing w:line="304" w:lineRule="exact" w:before="0" w:after="0"/>
        <w:ind w:left="1514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assumed thereunder by the parties shall be honoured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parties as in the case of any other contractual 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2192" w:val="left"/>
          <w:tab w:pos="3878" w:val="left"/>
        </w:tabs>
        <w:autoSpaceDE w:val="0"/>
        <w:widowControl/>
        <w:spacing w:line="154" w:lineRule="exact" w:before="114" w:after="0"/>
        <w:ind w:left="1702" w:right="158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The Recognition and Enforcement of International Settlement Agreements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Resulting from Mediation</w:t>
      </w:r>
    </w:p>
    <w:p>
      <w:pPr>
        <w:autoSpaceDN w:val="0"/>
        <w:tabs>
          <w:tab w:pos="1678" w:val="left"/>
          <w:tab w:pos="1918" w:val="left"/>
          <w:tab w:pos="6662" w:val="left"/>
        </w:tabs>
        <w:autoSpaceDE w:val="0"/>
        <w:widowControl/>
        <w:spacing w:line="296" w:lineRule="exact" w:before="114" w:after="0"/>
        <w:ind w:left="1438" w:right="144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6.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(1) A party to an international settlement agreement may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Application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make an application to the High Court to have the international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to the High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agreement entered as a decree of the High Court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the purpose of enforcing such international settlement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96" w:lineRule="exact" w:before="146" w:after="0"/>
        <w:ind w:left="1296" w:right="25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Upon receiving an application under subsection (1), if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High Court is satisfied that no grounds have been adduced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adjourn the proceedings or to refuse the grant of the relief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prayed for, under the provisions of this Act, the High Court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shall, on a day of which notice shall be given to the parties,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proceed to enter judgement according to the international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settlement agreement whereupon a decree shall be entered.</w:t>
      </w:r>
    </w:p>
    <w:p>
      <w:pPr>
        <w:autoSpaceDN w:val="0"/>
        <w:autoSpaceDE w:val="0"/>
        <w:widowControl/>
        <w:spacing w:line="296" w:lineRule="exact" w:before="160" w:after="0"/>
        <w:ind w:left="1296" w:right="25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Subject to the provisions of this Act, an international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agreement that is recorded by the High Court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decree of the High Court may be-</w:t>
      </w:r>
    </w:p>
    <w:p>
      <w:pPr>
        <w:autoSpaceDN w:val="0"/>
        <w:tabs>
          <w:tab w:pos="2480" w:val="left"/>
        </w:tabs>
        <w:autoSpaceDE w:val="0"/>
        <w:widowControl/>
        <w:spacing w:line="294" w:lineRule="exact" w:before="162" w:after="0"/>
        <w:ind w:left="2058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enforced in the same manner as a judgement given,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an order made, by the High Court; and</w:t>
      </w:r>
    </w:p>
    <w:p>
      <w:pPr>
        <w:autoSpaceDN w:val="0"/>
        <w:tabs>
          <w:tab w:pos="2058" w:val="left"/>
          <w:tab w:pos="2480" w:val="left"/>
        </w:tabs>
        <w:autoSpaceDE w:val="0"/>
        <w:widowControl/>
        <w:spacing w:line="306" w:lineRule="exact" w:before="150" w:after="0"/>
        <w:ind w:left="1420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relied upon by the parties to the international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agreement as a defence, set-off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otherwise in any court proceedings.</w:t>
      </w:r>
    </w:p>
    <w:p>
      <w:pPr>
        <w:autoSpaceDN w:val="0"/>
        <w:tabs>
          <w:tab w:pos="1918" w:val="left"/>
        </w:tabs>
        <w:autoSpaceDE w:val="0"/>
        <w:widowControl/>
        <w:spacing w:line="294" w:lineRule="exact" w:before="142" w:after="128"/>
        <w:ind w:left="1678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High Court shall have cognizance of and full power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hear and determine all actions specified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6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Where a dispute arises in any action in relation to 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5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Admissibility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settlement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agreement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court as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matter which a party claims to have been resolved by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international settlement agreement, such international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 shall be admissible as evidence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establish that such matter has already been resolved.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evidence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2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0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8" w:after="0"/>
              <w:ind w:left="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Requireuments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reliance 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settlement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6" w:after="0"/>
              <w:ind w:left="35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A party who makes an application to the High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section 6 or who intends to rely on an international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 which is admissible as evidence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provisions of section 7 in any court proceeding shall submit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following documents to the High Court or court,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case may be: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18" w:after="0"/>
        <w:ind w:left="2852" w:right="2374" w:hanging="36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The original or a duly certified copy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international settlement agreement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signed by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parties; and</w:t>
      </w:r>
    </w:p>
    <w:p>
      <w:pPr>
        <w:autoSpaceDN w:val="0"/>
        <w:tabs>
          <w:tab w:pos="2468" w:val="left"/>
          <w:tab w:pos="2852" w:val="left"/>
        </w:tabs>
        <w:autoSpaceDE w:val="0"/>
        <w:widowControl/>
        <w:spacing w:line="284" w:lineRule="exact" w:before="142" w:after="0"/>
        <w:ind w:left="151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evidence that the international settlement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agreement resulted from mediation, such as –</w:t>
      </w:r>
    </w:p>
    <w:p>
      <w:pPr>
        <w:autoSpaceDN w:val="0"/>
        <w:tabs>
          <w:tab w:pos="3332" w:val="left"/>
          <w:tab w:pos="3334" w:val="left"/>
        </w:tabs>
        <w:autoSpaceDE w:val="0"/>
        <w:widowControl/>
        <w:spacing w:line="284" w:lineRule="exact" w:before="162" w:after="120"/>
        <w:ind w:left="2910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signatures of the mediator or mediators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 the international settlement agreement;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6" w:after="0"/>
              <w:ind w:left="0" w:right="6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document signed by the mediator or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mediators certifying that the international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 was entered into as</w:t>
            </w:r>
          </w:p>
        </w:tc>
      </w:tr>
    </w:tbl>
    <w:p>
      <w:pPr>
        <w:autoSpaceDN w:val="0"/>
        <w:autoSpaceDE w:val="0"/>
        <w:widowControl/>
        <w:spacing w:line="280" w:lineRule="exact" w:before="0" w:after="118"/>
        <w:ind w:left="3312" w:right="237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result of mediation facilitated by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mediator or mediators,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4" w:after="0"/>
              <w:ind w:left="0" w:right="6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attestation by the institution that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administered   the mediation; or</w:t>
            </w:r>
          </w:p>
        </w:tc>
      </w:tr>
    </w:tbl>
    <w:p>
      <w:pPr>
        <w:autoSpaceDN w:val="0"/>
        <w:tabs>
          <w:tab w:pos="3334" w:val="left"/>
        </w:tabs>
        <w:autoSpaceDE w:val="0"/>
        <w:widowControl/>
        <w:spacing w:line="284" w:lineRule="exact" w:before="98" w:after="0"/>
        <w:ind w:left="2910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(iv) in the absence of (i), (ii) or (iii), any other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evidence acceptable to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Court.</w:t>
      </w:r>
    </w:p>
    <w:p>
      <w:pPr>
        <w:autoSpaceDN w:val="0"/>
        <w:tabs>
          <w:tab w:pos="2014" w:val="left"/>
        </w:tabs>
        <w:autoSpaceDE w:val="0"/>
        <w:widowControl/>
        <w:spacing w:line="284" w:lineRule="exact" w:before="162" w:after="118"/>
        <w:ind w:left="1774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For the purposes of subsection (1) “signature”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include an electronic signature.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1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6" w:after="0"/>
              <w:ind w:left="54" w:right="1152" w:firstLine="24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High Court or any other court may require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production before it of any document necessary to verify that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177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requirements specified in subsection (1) have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complied with.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144" w:right="72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Agreements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Resulting from Mediation</w:t>
            </w:r>
          </w:p>
        </w:tc>
      </w:tr>
    </w:tbl>
    <w:p>
      <w:pPr>
        <w:autoSpaceDN w:val="0"/>
        <w:autoSpaceDE w:val="0"/>
        <w:widowControl/>
        <w:spacing w:line="282" w:lineRule="exact" w:before="176" w:after="0"/>
        <w:ind w:left="1660" w:right="254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the international settlement agreement is not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language of the court, the court may require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international settlement agreement to be accompanied by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certified translation in the language of the court.</w:t>
      </w:r>
    </w:p>
    <w:p>
      <w:pPr>
        <w:autoSpaceDN w:val="0"/>
        <w:tabs>
          <w:tab w:pos="1660" w:val="left"/>
          <w:tab w:pos="1900" w:val="left"/>
        </w:tabs>
        <w:autoSpaceDE w:val="0"/>
        <w:widowControl/>
        <w:spacing w:line="284" w:lineRule="exact" w:before="164" w:after="120"/>
        <w:ind w:left="142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For the purposes of subsection (4), the translation shall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certified by an official or a sworn translator or by a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diplomatic or a consular agent in Sri Lanka of the country in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the international settlement agreement was entered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into or otherwise to the satisfaction of the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2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High Court to which an application is made in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8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Grounds 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refusing 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High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Court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admissibility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evidence</w:t>
            </w:r>
          </w:p>
        </w:tc>
      </w:tr>
      <w:tr>
        <w:trPr>
          <w:trHeight w:hRule="exact" w:val="294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7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terms of section 6, or any other court in which an international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agreement is sought to be admitted as evidence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terms of section 7 may refuse to grant the relief, if any party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international settlement agreement furnishes proof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establish that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party to the international settlement agreement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0" w:after="120"/>
        <w:ind w:left="0" w:right="43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was under some incapacity;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2" w:after="0"/>
              <w:ind w:left="0" w:right="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international settlement agreement-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null and void, inoperative or incapable of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being performed under the applicable law;</w:t>
            </w:r>
          </w:p>
        </w:tc>
      </w:tr>
      <w:tr>
        <w:trPr>
          <w:trHeight w:hRule="exact" w:val="73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96" w:after="0"/>
              <w:ind w:left="0" w:right="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0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18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not binding, or is not final, according to its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terms; or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has been subsequently modified;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obligations in the international settlement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agreement –</w:t>
            </w:r>
          </w:p>
        </w:tc>
      </w:tr>
    </w:tbl>
    <w:p>
      <w:pPr>
        <w:autoSpaceDN w:val="0"/>
        <w:autoSpaceDE w:val="0"/>
        <w:widowControl/>
        <w:spacing w:line="266" w:lineRule="exact" w:before="186" w:after="0"/>
        <w:ind w:left="0" w:right="404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(i) have been duly performed; or</w:t>
      </w:r>
    </w:p>
    <w:p>
      <w:pPr>
        <w:autoSpaceDN w:val="0"/>
        <w:autoSpaceDE w:val="0"/>
        <w:widowControl/>
        <w:spacing w:line="266" w:lineRule="exact" w:before="190" w:after="0"/>
        <w:ind w:left="0" w:right="38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(ii) are not clear or comprehensible;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2526" w:val="left"/>
          <w:tab w:pos="6478" w:val="left"/>
        </w:tabs>
        <w:autoSpaceDE w:val="0"/>
        <w:widowControl/>
        <w:spacing w:line="210" w:lineRule="exact" w:before="0" w:after="0"/>
        <w:ind w:left="1692" w:right="2304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The Recognition and Enforcement of International Settlement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Agreements Resulting from Mediation</w:t>
      </w:r>
    </w:p>
    <w:p>
      <w:pPr>
        <w:autoSpaceDN w:val="0"/>
        <w:tabs>
          <w:tab w:pos="2564" w:val="left"/>
          <w:tab w:pos="2566" w:val="left"/>
        </w:tabs>
        <w:autoSpaceDE w:val="0"/>
        <w:widowControl/>
        <w:spacing w:line="298" w:lineRule="exact" w:before="190" w:after="0"/>
        <w:ind w:left="214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granting relief would be contrary to the terms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international settlement agreement;</w:t>
      </w:r>
    </w:p>
    <w:p>
      <w:pPr>
        <w:autoSpaceDN w:val="0"/>
        <w:tabs>
          <w:tab w:pos="2142" w:val="left"/>
          <w:tab w:pos="2564" w:val="left"/>
          <w:tab w:pos="2566" w:val="left"/>
        </w:tabs>
        <w:autoSpaceDE w:val="0"/>
        <w:widowControl/>
        <w:spacing w:line="298" w:lineRule="exact" w:before="158" w:after="0"/>
        <w:ind w:left="1524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(e)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there was a serious breach by the mediator of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standards applicable to the mediator, 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mediation, without which   breach that party would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have entered into the    international settlement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agreement; or</w:t>
      </w:r>
    </w:p>
    <w:p>
      <w:pPr>
        <w:autoSpaceDN w:val="0"/>
        <w:tabs>
          <w:tab w:pos="2564" w:val="left"/>
          <w:tab w:pos="2566" w:val="left"/>
        </w:tabs>
        <w:autoSpaceDE w:val="0"/>
        <w:widowControl/>
        <w:spacing w:line="296" w:lineRule="exact" w:before="166" w:after="16"/>
        <w:ind w:left="214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(f)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was a failure by the mediator to disclose to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parties the circumstances that raise justifiable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4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44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doubts as to the mediator’s impartiality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independence and the failure to disclose had a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2564" w:right="241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 impact or undue influence on a party,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without which failure that party would not have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entered into the international settlement agreement.</w:t>
      </w:r>
    </w:p>
    <w:p>
      <w:pPr>
        <w:autoSpaceDN w:val="0"/>
        <w:tabs>
          <w:tab w:pos="1764" w:val="left"/>
          <w:tab w:pos="2004" w:val="left"/>
        </w:tabs>
        <w:autoSpaceDE w:val="0"/>
        <w:widowControl/>
        <w:spacing w:line="304" w:lineRule="exact" w:before="150" w:after="0"/>
        <w:ind w:left="152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court may also refuse to grant relief if it finds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that –</w:t>
      </w:r>
    </w:p>
    <w:p>
      <w:pPr>
        <w:autoSpaceDN w:val="0"/>
        <w:tabs>
          <w:tab w:pos="2564" w:val="left"/>
          <w:tab w:pos="2566" w:val="left"/>
        </w:tabs>
        <w:autoSpaceDE w:val="0"/>
        <w:widowControl/>
        <w:spacing w:line="298" w:lineRule="exact" w:before="158" w:after="134"/>
        <w:ind w:left="214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granting relief would be contrary to the public policy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2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subject matter of the dispute is not capable of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6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Setting aside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decree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court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8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settlement by mediation under the laws of Sri Lanka.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0" w:after="0"/>
              <w:ind w:left="28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 an international settlement agreement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recorded as a decree of the High Court under subsection(2)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section 6 in the absence of a party to the international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6" w:lineRule="exact" w:before="0" w:after="0"/>
        <w:ind w:left="1440" w:right="24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agreement, the High Court may, upon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 of that party, set aside the decree of court on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ground on which the High Court may refuse to grant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 to record the international settlement agreement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 a decree of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5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1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7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32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96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3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6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144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Agreements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Resulting from Mediation</w:t>
            </w:r>
          </w:p>
        </w:tc>
      </w:tr>
      <w:tr>
        <w:trPr>
          <w:trHeight w:hRule="exact" w:val="8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58" w:right="3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Where an application has been made in terms of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6 and is pending, and an application or a claim relating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international settlement agreement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(hereinafter referred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Parallel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 claims</w:t>
            </w:r>
          </w:p>
        </w:tc>
      </w:tr>
      <w:tr>
        <w:trPr>
          <w:trHeight w:hRule="exact" w:val="1820"/>
        </w:trPr>
        <w:tc>
          <w:tcPr>
            <w:tcW w:type="dxa" w:w="1503"/>
            <w:vMerge/>
            <w:tcBorders/>
          </w:tcPr>
          <w:p/>
        </w:tc>
        <w:tc>
          <w:tcPr>
            <w:tcW w:type="dxa" w:w="6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58" w:right="172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as a “parallel application”) has been made and is pending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any other court, in an  arbitral tribunal  or in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institution having jurisdiction in Sri Lanka or in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State, and the High Court is of the opinion that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proceedings of the parallel application may or are likely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affect the relief sought in terms of section 6, the High Court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-</w:t>
            </w:r>
          </w:p>
        </w:tc>
      </w:tr>
      <w:tr>
        <w:trPr>
          <w:trHeight w:hRule="exact" w:val="332"/>
        </w:trPr>
        <w:tc>
          <w:tcPr>
            <w:tcW w:type="dxa" w:w="1503"/>
            <w:vMerge/>
            <w:tcBorders/>
          </w:tcPr>
          <w:p/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adjourn the determination of the application before</w:t>
            </w:r>
          </w:p>
        </w:tc>
      </w:tr>
      <w:tr>
        <w:trPr>
          <w:trHeight w:hRule="exact" w:val="568"/>
        </w:trPr>
        <w:tc>
          <w:tcPr>
            <w:tcW w:type="dxa" w:w="1503"/>
            <w:vMerge/>
            <w:tcBorders/>
          </w:tcPr>
          <w:p/>
        </w:tc>
        <w:tc>
          <w:tcPr>
            <w:tcW w:type="dxa" w:w="6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858" w:right="158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it until the proceedings of the parallel application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are concluded; and</w:t>
            </w:r>
          </w:p>
        </w:tc>
      </w:tr>
      <w:tr>
        <w:trPr>
          <w:trHeight w:hRule="exact" w:val="338"/>
        </w:trPr>
        <w:tc>
          <w:tcPr>
            <w:tcW w:type="dxa" w:w="1503"/>
            <w:vMerge/>
            <w:tcBorders/>
          </w:tcPr>
          <w:p/>
        </w:tc>
        <w:tc>
          <w:tcPr>
            <w:tcW w:type="dxa" w:w="7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8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the request of a party, order the other party to</w:t>
            </w:r>
          </w:p>
        </w:tc>
      </w:tr>
      <w:tr>
        <w:trPr>
          <w:trHeight w:hRule="exact" w:val="322"/>
        </w:trPr>
        <w:tc>
          <w:tcPr>
            <w:tcW w:type="dxa" w:w="1503"/>
            <w:vMerge/>
            <w:tcBorders/>
          </w:tcPr>
          <w:p/>
        </w:tc>
        <w:tc>
          <w:tcPr>
            <w:tcW w:type="dxa" w:w="6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give suitable security.</w:t>
            </w:r>
          </w:p>
        </w:tc>
      </w:tr>
      <w:tr>
        <w:trPr>
          <w:trHeight w:hRule="exact" w:val="8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58" w:right="3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Every application to the High Court under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6 of this Act, shall be made by way of petition and affidavit,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all parties to the mediation other than the petitioner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0" w:after="0"/>
              <w:ind w:left="7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Proceedings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before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High Court</w:t>
            </w:r>
          </w:p>
        </w:tc>
      </w:tr>
      <w:tr>
        <w:trPr>
          <w:trHeight w:hRule="exact" w:val="2224"/>
        </w:trPr>
        <w:tc>
          <w:tcPr>
            <w:tcW w:type="dxa" w:w="1503"/>
            <w:vMerge/>
            <w:tcBorders/>
          </w:tcPr>
          <w:p/>
        </w:tc>
        <w:tc>
          <w:tcPr>
            <w:tcW w:type="dxa" w:w="6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58" w:right="158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petitioners shall be named as respondents to such petition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shall be given notice of the same.</w:t>
            </w:r>
          </w:p>
          <w:p>
            <w:pPr>
              <w:autoSpaceDN w:val="0"/>
              <w:autoSpaceDE w:val="0"/>
              <w:widowControl/>
              <w:spacing w:line="248" w:lineRule="exact" w:before="160" w:after="0"/>
              <w:ind w:left="58" w:right="171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Upon the petition and affidavit being presented,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High Court shall appoint a day within two weeks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presentation for the determination of the matters set out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petition, and grant the respondents a date to state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objections, if any, in writing supported by affidavit, and make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available copies thereof to the petitioner.</w:t>
            </w:r>
          </w:p>
        </w:tc>
      </w:tr>
    </w:tbl>
    <w:p>
      <w:pPr>
        <w:autoSpaceDN w:val="0"/>
        <w:tabs>
          <w:tab w:pos="1958" w:val="left"/>
        </w:tabs>
        <w:autoSpaceDE w:val="0"/>
        <w:widowControl/>
        <w:spacing w:line="244" w:lineRule="exact" w:before="104" w:after="82"/>
        <w:ind w:left="1718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Evidence shall be given by way of affidavit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proceedings before the High Court: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38" w:right="1238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Provided however, where the High Court deems fit, it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take evidence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viva voce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addition to evidence given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affidavit.</w:t>
            </w:r>
          </w:p>
        </w:tc>
      </w:tr>
    </w:tbl>
    <w:p>
      <w:pPr>
        <w:autoSpaceDN w:val="0"/>
        <w:autoSpaceDE w:val="0"/>
        <w:widowControl/>
        <w:spacing w:line="250" w:lineRule="exact" w:before="98" w:after="0"/>
        <w:ind w:left="1718" w:right="2448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an international settlement agreement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recorded as a decree of the High Court, it may be enforced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720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84" w:lineRule="exact" w:before="48" w:after="0"/>
        <w:ind w:left="1558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same manner as a decree entered under the provisions 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Civil Procedure Code (Chapter 101) and accordingly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provisions of Chapter XXII of that Code relating to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execution of decrees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apply to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enforcement.</w:t>
      </w:r>
    </w:p>
    <w:p>
      <w:pPr>
        <w:autoSpaceDN w:val="0"/>
        <w:autoSpaceDE w:val="0"/>
        <w:widowControl/>
        <w:spacing w:line="280" w:lineRule="exact" w:before="146" w:after="114"/>
        <w:ind w:left="1796" w:right="242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High Court shall hear and finally dispose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case within three months of the making of the application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section 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8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2" w:after="0"/>
              <w:ind w:left="27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Where notices and summons are required to be served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Notices and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any person under this Act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notices and summons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summons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served in or out of Sri Lanka in accordance with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8" w:after="110"/>
        <w:ind w:left="17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Chapter VIII of the Civil Procedure Code (Chapter 101).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2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27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provisions of the Mutual Assistance in Civil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8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Assistance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 country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Commercial Matters Act, No. 39 of 2000 shall apply in respect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providing assistance to any country as declared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0" w:after="114"/>
        <w:ind w:left="1796" w:right="24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section 4 of that Act for service of summons and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documents in a proceeding relating to a civil and commercial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27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 an application is made in terms of section 6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Final decree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no grounds are submitted to refuse such application 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on the final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date for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terms of section 9 or to adjourn the proceedings in terms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notice</w:t>
            </w:r>
          </w:p>
        </w:tc>
      </w:tr>
      <w:tr>
        <w:trPr>
          <w:trHeight w:hRule="exact" w:val="29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11, the High Court shall proceed to make a judgment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returnable</w:t>
            </w:r>
          </w:p>
        </w:tc>
      </w:tr>
    </w:tbl>
    <w:p>
      <w:pPr>
        <w:autoSpaceDN w:val="0"/>
        <w:autoSpaceDE w:val="0"/>
        <w:widowControl/>
        <w:spacing w:line="276" w:lineRule="exact" w:before="0" w:after="116"/>
        <w:ind w:left="179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the said agreement and enter the final decree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final date for notice returnable.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1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this Act, unless the context otherwise requires-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406" w:val="left"/>
        </w:tabs>
        <w:autoSpaceDE w:val="0"/>
        <w:widowControl/>
        <w:spacing w:line="278" w:lineRule="exact" w:before="92" w:after="0"/>
        <w:ind w:left="2036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“electronic” shall have the same meaning as in the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Electronic Transactions Act, No. 19 of 2006;</w:t>
      </w:r>
    </w:p>
    <w:p>
      <w:pPr>
        <w:autoSpaceDN w:val="0"/>
        <w:autoSpaceDE w:val="0"/>
        <w:widowControl/>
        <w:spacing w:line="278" w:lineRule="exact" w:before="284" w:after="0"/>
        <w:ind w:left="2016" w:right="230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“electronic signature” shall have the same meaning as in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 Electronic Transactions Act, No. 19 of 2006;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144" w:right="72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Agreements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Resulting from Mediation</w:t>
            </w:r>
          </w:p>
        </w:tc>
      </w:tr>
    </w:tbl>
    <w:p>
      <w:pPr>
        <w:autoSpaceDN w:val="0"/>
        <w:autoSpaceDE w:val="0"/>
        <w:widowControl/>
        <w:spacing w:line="242" w:lineRule="exact" w:before="66" w:after="48"/>
        <w:ind w:left="1688" w:right="25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“High Court” means the High Court established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Province by Article 154p of the Constitution and exercising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civil jurisdiction under the High Court of the Provinces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(Special Provisions) Act, No. 10 of 1996;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3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96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4" w:after="0"/>
              <w:ind w:left="48" w:right="12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“mediation” means a process, irrespective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expression used to the basis upon which the process is carried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out, whereby parties attempt to reach an amicable settlement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their dispute with the assistance of one or more third parties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(“the mediator”) lacking the authority to impose a 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upon the parties to the dispute;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1688" w:right="25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“parties” means the parties to the international settlement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agreement in relation to the mediation, and does not include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mediator or mediators conducting the mediation;</w:t>
      </w:r>
    </w:p>
    <w:p>
      <w:pPr>
        <w:autoSpaceDN w:val="0"/>
        <w:autoSpaceDE w:val="0"/>
        <w:widowControl/>
        <w:spacing w:line="266" w:lineRule="exact" w:before="132" w:after="62"/>
        <w:ind w:left="19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“place of business”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0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3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34" w:after="0"/>
              <w:ind w:left="0" w:right="3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3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26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principal place at which that party conducts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business of such party;</w:t>
            </w:r>
          </w:p>
        </w:tc>
      </w:tr>
      <w:tr>
        <w:trPr>
          <w:trHeight w:hRule="exact" w:val="20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6" w:after="0"/>
              <w:ind w:left="268" w:right="125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if a party has more than one place of business,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place of business which has the closest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relationship to the dispute resolved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international settlement agreement, having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regard to the circumstances known to,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contemplated by, the parties at the time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conclusion of the international settlement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agreement;</w:t>
            </w:r>
          </w:p>
        </w:tc>
      </w:tr>
      <w:tr>
        <w:trPr>
          <w:trHeight w:hRule="exact" w:val="634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2" w:after="0"/>
              <w:ind w:left="828" w:right="1152" w:hanging="4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(c)        if a party does not have a place of business, it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means the habitual residence of the party; and</w:t>
            </w:r>
          </w:p>
        </w:tc>
      </w:tr>
    </w:tbl>
    <w:p>
      <w:pPr>
        <w:autoSpaceDN w:val="0"/>
        <w:autoSpaceDE w:val="0"/>
        <w:widowControl/>
        <w:spacing w:line="230" w:lineRule="exact" w:before="104" w:after="52"/>
        <w:ind w:left="2768" w:right="2516" w:hanging="10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‘‘written” includes an electronic communication if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information contained therein is accessible 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 to be useable  for subsequent reference.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28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0" w:right="152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24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6" w:after="0"/>
              <w:ind w:left="720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Agreements Resulting from Mediation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72"/>
        <w:ind w:left="0" w:right="0"/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741"/>
        <w:gridCol w:w="4741"/>
      </w:tblGrid>
      <w:tr>
        <w:trPr>
          <w:trHeight w:hRule="exact" w:val="10102"/>
        </w:trPr>
        <w:tc>
          <w:tcPr>
            <w:tcW w:type="dxa" w:w="702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5572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6" w:after="0"/>
              <w:ind w:left="144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The Recognition and Enforcement of International Settlement Agreements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Resulting from Mediation</w:t>
            </w:r>
          </w:p>
        </w:tc>
      </w:tr>
    </w:tbl>
    <w:p>
      <w:pPr>
        <w:autoSpaceDN w:val="0"/>
        <w:autoSpaceDE w:val="0"/>
        <w:widowControl/>
        <w:spacing w:line="238" w:lineRule="auto" w:before="52" w:after="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</w:p>
    <w:sectPr w:rsidR="00FC693F" w:rsidRPr="0006063C" w:rsidSect="00034616">
      <w:pgSz w:w="11900" w:h="16840"/>
      <w:pgMar w:top="1440" w:right="978" w:bottom="1440" w:left="1440" w:header="720" w:footer="720" w:gutter="0"/>
      <w:cols w:space="720" w:num="1" w:equalWidth="0">
        <w:col w:w="9482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