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1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230" w:lineRule="auto" w:before="548" w:after="0"/>
        <w:ind w:left="1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3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1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4" w:lineRule="exact" w:before="14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FINANCE</w:t>
      </w:r>
    </w:p>
    <w:p>
      <w:pPr>
        <w:autoSpaceDN w:val="0"/>
        <w:autoSpaceDE w:val="0"/>
        <w:widowControl/>
        <w:spacing w:line="332" w:lineRule="exact" w:before="23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5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9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amend the Finance Act, No. 35 of 2018 and the Finance Act, No. 12 of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2012; to provide for the exemption of certain persons from the application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of the Imports and Exports (Control) Act, No. 1 of 1969; and for matters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connected therewith or incidental thereto</w:t>
      </w:r>
    </w:p>
    <w:p>
      <w:pPr>
        <w:autoSpaceDN w:val="0"/>
        <w:autoSpaceDE w:val="0"/>
        <w:widowControl/>
        <w:spacing w:line="244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Finance, Economic Stabilization and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National Policies on 18th of October, 2023</w:t>
      </w:r>
    </w:p>
    <w:p>
      <w:pPr>
        <w:autoSpaceDN w:val="0"/>
        <w:autoSpaceDE w:val="0"/>
        <w:widowControl/>
        <w:spacing w:line="266" w:lineRule="exact" w:before="2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04, 2023)</w:t>
      </w:r>
    </w:p>
    <w:p>
      <w:pPr>
        <w:autoSpaceDN w:val="0"/>
        <w:autoSpaceDE w:val="0"/>
        <w:widowControl/>
        <w:spacing w:line="244" w:lineRule="exact" w:before="2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10" w:after="0"/>
        <w:ind w:left="142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210]</w:t>
      </w:r>
    </w:p>
    <w:p>
      <w:pPr>
        <w:autoSpaceDN w:val="0"/>
        <w:autoSpaceDE w:val="0"/>
        <w:widowControl/>
        <w:spacing w:line="212" w:lineRule="exact" w:before="7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18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40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6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18" w:after="0"/>
              <w:ind w:left="6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46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9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Finance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76/2021</w:t>
      </w:r>
    </w:p>
    <w:p>
      <w:pPr>
        <w:autoSpaceDN w:val="0"/>
        <w:autoSpaceDE w:val="0"/>
        <w:widowControl/>
        <w:spacing w:line="246" w:lineRule="exact" w:before="246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2012; 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EXEMPTION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APPLICATION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MPORTS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XPORTS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ONTROL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1969;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48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6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36" w:lineRule="exact" w:before="102" w:after="0"/>
              <w:ind w:left="1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This Act may be cited as the Finance Act, No.        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2023.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66" w:after="166"/>
        <w:ind w:left="0" w:right="29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4" w:after="0"/>
              <w:ind w:left="78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48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Finance Act, No. 35 of 2018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part referred to as the “principal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Finance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35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2018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by the insertion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subsections immediately after subsection (2)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:–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44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 shall be charged with effect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commencement of this Act, a levy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25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per each mobile short message, on bulk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advertisements sent through a fixed telephone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levy imposed under subsection (2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advertiser who intends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advertise by way of the mobile short messages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which the levy is charged.”.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49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33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Finance</w:t>
            </w:r>
          </w:p>
        </w:tc>
      </w:tr>
      <w:tr>
        <w:trPr>
          <w:trHeight w:hRule="exact" w:val="5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definition of expression “mobile</w:t>
            </w:r>
          </w:p>
        </w:tc>
      </w:tr>
    </w:tbl>
    <w:p>
      <w:pPr>
        <w:autoSpaceDN w:val="0"/>
        <w:autoSpaceDE w:val="0"/>
        <w:widowControl/>
        <w:spacing w:line="326" w:lineRule="exact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short message” and the substitution therefor,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346" w:lineRule="exact" w:before="344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““mobile short message” means, a text message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sent through mobile phones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fixed telephone lines;”; and</w:t>
      </w:r>
    </w:p>
    <w:p>
      <w:pPr>
        <w:autoSpaceDN w:val="0"/>
        <w:tabs>
          <w:tab w:pos="2422" w:val="left"/>
        </w:tabs>
        <w:autoSpaceDE w:val="0"/>
        <w:widowControl/>
        <w:spacing w:line="344" w:lineRule="exact" w:before="34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definition of expression “bulk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advertisements” and the substitution therefor,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following:-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346" w:lineRule="exact" w:before="34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““bulk advertisements” mean, text messages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sent through mobile phones or fixed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telephone lines to group of recipients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commercial purposes.”.</w:t>
      </w:r>
    </w:p>
    <w:p>
      <w:pPr>
        <w:autoSpaceDN w:val="0"/>
        <w:autoSpaceDE w:val="0"/>
        <w:widowControl/>
        <w:spacing w:line="266" w:lineRule="exact" w:before="426" w:after="36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MENDMENT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12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2012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Part IV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No.12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2012</w:t>
            </w:r>
          </w:p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1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Schedule of Part IV of the Finance Act, No.12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2012 is hereby amended by the addition immediately 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 6 thereof, of the following new item:-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“7. Social Security Contribution Levy Act, No. 25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1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2022.".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38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Finance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6" w:lineRule="exact" w:before="490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66" w:lineRule="exact" w:before="32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XEMPTION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PERSONS</w:t>
      </w:r>
      <w:r>
        <w:rPr>
          <w:rFonts w:ascii="Times" w:hAnsi="Times" w:eastAsia="Times"/>
          <w:b w:val="0"/>
          <w:i w:val="0"/>
          <w:color w:val="221F1F"/>
          <w:sz w:val="14"/>
        </w:rPr>
        <w:t>FROM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</w:p>
    <w:p>
      <w:pPr>
        <w:autoSpaceDN w:val="0"/>
        <w:autoSpaceDE w:val="0"/>
        <w:widowControl/>
        <w:spacing w:line="266" w:lineRule="exact" w:before="30" w:after="206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MPORTS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XPORTS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ONTROL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contrary to any other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Granting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a person who imported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2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motor vehicle imported into Sri Lanka on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from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May 22, 2020 and not removed from the Sri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Customs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prior to November 12, 2021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Imports and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to the prohibitions and restrictions imposed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Exports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Imports and Exports (Control) Regulations, No. 2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(Control)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 of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2020 made under the Imports and Exports (Control)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1969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1 of 1969 and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Extraordinary No. 2176/19 of May 22, 2020;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Collection of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motor vehicle propelled electrically imported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Sri Lanka on or prior to November 12, 2021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not removed from the Sri Lanka Customs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coming into operation of this Act, due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non-payment of any tax which is liable to pay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any Act referred to in Schedule  hereto,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permitted to remove such vehicle from the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Customs, subject to the payment of due amount of tax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surcharge under the provisions of section 6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who imported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tax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8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motor vehicle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5 shall be liable to pay, within sixty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from the date of coming into operation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the due amount of tax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any Act referred to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Finance</w:t>
      </w:r>
    </w:p>
    <w:p>
      <w:pPr>
        <w:autoSpaceDN w:val="0"/>
        <w:tabs>
          <w:tab w:pos="2842" w:val="left"/>
        </w:tabs>
        <w:autoSpaceDE w:val="0"/>
        <w:widowControl/>
        <w:spacing w:line="282" w:lineRule="exact" w:before="22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hereto, at the date of removing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vehicle from Sri Lanka Customs, with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surcharge of 10% of the total due amount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at the date of opening the letter of credit;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478" w:val="left"/>
          <w:tab w:pos="2842" w:val="left"/>
        </w:tabs>
        <w:autoSpaceDE w:val="0"/>
        <w:widowControl/>
        <w:spacing w:line="282" w:lineRule="exact" w:before="28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motor vehicle propelled electrically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5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pay, within sixty days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coming into operation of this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amount of tax in terms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 referred to in Schedule hereto,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opening the letter of credit, with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surcharge of 10% of the total due amount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 on the date of opening the letter of credit.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exact" w:before="26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receipt of the payments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Director- General of Customs shall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permission to remove such vehicle from the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Customs.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2" w:lineRule="exact" w:before="28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the Customs Ordinance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235) relating to the collection and recovery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duty,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collection and recovery of the tax under this Part.</w:t>
      </w:r>
    </w:p>
    <w:p>
      <w:pPr>
        <w:autoSpaceDN w:val="0"/>
        <w:tabs>
          <w:tab w:pos="6622" w:val="left"/>
        </w:tabs>
        <w:autoSpaceDE w:val="0"/>
        <w:widowControl/>
        <w:spacing w:line="278" w:lineRule="exact" w:before="298" w:after="0"/>
        <w:ind w:left="19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7. </w:t>
      </w:r>
      <w:r>
        <w:rPr>
          <w:rFonts w:ascii="Times" w:hAnsi="Times" w:eastAsia="Times"/>
          <w:b w:val="0"/>
          <w:i w:val="0"/>
          <w:color w:val="221F1F"/>
          <w:sz w:val="20"/>
        </w:rPr>
        <w:t>In this Part unless the context otherwise requires 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tabs>
          <w:tab w:pos="2422" w:val="left"/>
          <w:tab w:pos="2842" w:val="left"/>
        </w:tabs>
        <w:autoSpaceDE w:val="0"/>
        <w:widowControl/>
        <w:spacing w:line="282" w:lineRule="exact" w:before="27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“Director-General of Customs” means,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Customs appointed under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 of the Customs Ordinance (Chapter 235);</w:t>
      </w:r>
    </w:p>
    <w:p>
      <w:pPr>
        <w:autoSpaceDN w:val="0"/>
        <w:autoSpaceDE w:val="0"/>
        <w:widowControl/>
        <w:spacing w:line="284" w:lineRule="exact" w:before="280" w:after="0"/>
        <w:ind w:left="2782" w:right="2448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“electrically propelled vehicle” means, any motor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vehicle with only electric motor for propulsion;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38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Finance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6" w:lineRule="exact" w:before="204" w:after="13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“motor vehicle”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17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1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mechanically or electrically, or solar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energy propelled vehicle or vehicle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propelled by liquid petroleum gas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vehicle propelled by alternative fuel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a tractor or trailer which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intended or adapted for use on roads but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 not include a road-roller;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0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1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mechanically or electrically or solar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energy propelled vehicle, or vehicle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propelled by liquid petroleum gas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vehicle propelled for alternative fuel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intended for use on land in connection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an agricultural or constructional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such 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leveling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dredging,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earthmoving, forestry or any similar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but does not include a road-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roller;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4" w:after="0"/>
              <w:ind w:left="1218" w:right="42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“tax” includes any tax, penalty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surcharge, levy,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duty, charge for or contribution payable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levied under the Acts referred to in Schedule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relation to import of a motor vehicle.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</w:tabs>
              <w:autoSpaceDE w:val="0"/>
              <w:widowControl/>
              <w:spacing w:line="216" w:lineRule="exact" w:before="17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7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873"/>
        </w:trPr>
        <w:tc>
          <w:tcPr>
            <w:tcW w:type="dxa" w:w="1503"/>
            <w:vMerge/>
            <w:tcBorders/>
          </w:tcPr>
          <w:p/>
        </w:tc>
        <w:tc>
          <w:tcPr>
            <w:tcW w:type="dxa" w:w="3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56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CHEDULE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12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(sections 5 and 6)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500"/>
        </w:trPr>
        <w:tc>
          <w:tcPr>
            <w:tcW w:type="dxa" w:w="1503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4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Excise (Special provisions) Act, No.13 of 1989;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503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2.</w:t>
            </w:r>
          </w:p>
        </w:tc>
        <w:tc>
          <w:tcPr>
            <w:tcW w:type="dxa" w:w="4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Act, No. 35 of 2018;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4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Value Added Tax Act, No.14 of 2002;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</w:t>
            </w:r>
          </w:p>
        </w:tc>
        <w:tc>
          <w:tcPr>
            <w:tcW w:type="dxa" w:w="4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Ports and Airports Development Act, No.18 of 2011;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503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5.</w:t>
            </w:r>
          </w:p>
        </w:tc>
        <w:tc>
          <w:tcPr>
            <w:tcW w:type="dxa" w:w="4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Customs Ordinance (Chapter 235).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4510"/>
        <w:gridCol w:w="4510"/>
      </w:tblGrid>
      <w:tr>
        <w:trPr>
          <w:trHeight w:hRule="exact" w:val="9404"/>
        </w:trPr>
        <w:tc>
          <w:tcPr>
            <w:tcW w:type="dxa" w:w="14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9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8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9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Finance</w:t>
            </w:r>
          </w:p>
        </w:tc>
      </w:tr>
    </w:tbl>
    <w:p>
      <w:pPr>
        <w:autoSpaceDN w:val="0"/>
        <w:autoSpaceDE w:val="0"/>
        <w:widowControl/>
        <w:spacing w:line="150" w:lineRule="exact" w:before="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