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9026"/>
      </w:tblGrid>
      <w:tr>
        <w:trPr>
          <w:trHeight w:hRule="exact" w:val="80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21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4"/>
              </w:rPr>
              <w:t xml:space="preserve">THE  GAZETTE  OF  THE  DEMOCRATIC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Microfinance and Credit Regulatory</w:t>
            </w:r>
          </w:p>
          <w:p>
            <w:pPr>
              <w:autoSpaceDN w:val="0"/>
              <w:tabs>
                <w:tab w:pos="5180" w:val="left"/>
              </w:tabs>
              <w:autoSpaceDE w:val="0"/>
              <w:widowControl/>
              <w:spacing w:line="242" w:lineRule="exact" w:before="34" w:after="0"/>
              <w:ind w:left="260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Authority 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69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4"/>
              </w:rPr>
              <w:t>SOCIALIST  REPUBLIC  OF</w:t>
            </w:r>
          </w:p>
        </w:tc>
      </w:tr>
    </w:tbl>
    <w:p>
      <w:pPr>
        <w:autoSpaceDN w:val="0"/>
        <w:autoSpaceDE w:val="0"/>
        <w:widowControl/>
        <w:spacing w:line="332" w:lineRule="exact" w:before="22" w:after="0"/>
        <w:ind w:left="0" w:right="375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 SRI  LANKA</w:t>
      </w:r>
    </w:p>
    <w:p>
      <w:pPr>
        <w:autoSpaceDN w:val="0"/>
        <w:autoSpaceDE w:val="0"/>
        <w:widowControl/>
        <w:spacing w:line="332" w:lineRule="exact" w:before="312" w:after="0"/>
        <w:ind w:left="0" w:right="31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October 27, 2023</w:t>
      </w:r>
    </w:p>
    <w:p>
      <w:pPr>
        <w:autoSpaceDN w:val="0"/>
        <w:autoSpaceDE w:val="0"/>
        <w:widowControl/>
        <w:spacing w:line="320" w:lineRule="exact" w:before="120" w:after="0"/>
        <w:ind w:left="0" w:right="371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76" w:after="0"/>
        <w:ind w:left="0" w:right="337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(Issued on 30.10.2023)</w:t>
      </w:r>
    </w:p>
    <w:p>
      <w:pPr>
        <w:autoSpaceDN w:val="0"/>
        <w:autoSpaceDE w:val="0"/>
        <w:widowControl/>
        <w:spacing w:line="240" w:lineRule="auto" w:before="214" w:after="0"/>
        <w:ind w:left="0" w:right="37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4550" cy="11455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45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4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MICROFINANCE   AND   CREDIT   REGULATORY </w:t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AUTHORITY</w:t>
      </w:r>
    </w:p>
    <w:p>
      <w:pPr>
        <w:autoSpaceDN w:val="0"/>
        <w:autoSpaceDE w:val="0"/>
        <w:widowControl/>
        <w:spacing w:line="332" w:lineRule="exact" w:before="76" w:after="0"/>
        <w:ind w:left="0" w:right="437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76" w:after="0"/>
        <w:ind w:left="0" w:right="418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70" w:after="0"/>
        <w:ind w:left="1440" w:right="1296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provide for the establishment of the microfinance and credit regulatory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authority of sri lanka; to regulate the moneylending business and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microfinance business; to provide protection for the customers of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moneylending business and the microfinance business; to repeal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microfinance act, No. 6 of 2016 and to provide for matters connected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6" w:lineRule="exact" w:before="120" w:after="0"/>
        <w:ind w:left="0" w:right="230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 Finance,</w:t>
      </w:r>
    </w:p>
    <w:p>
      <w:pPr>
        <w:autoSpaceDN w:val="0"/>
        <w:autoSpaceDE w:val="0"/>
        <w:widowControl/>
        <w:spacing w:line="246" w:lineRule="exact" w:before="0" w:after="0"/>
        <w:ind w:left="0" w:right="256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132" w:lineRule="exact" w:before="66" w:after="0"/>
        <w:ind w:left="0" w:right="264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132" w:lineRule="exact" w:before="108" w:after="0"/>
        <w:ind w:left="0" w:right="227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6190" w:val="left"/>
        </w:tabs>
        <w:autoSpaceDE w:val="0"/>
        <w:widowControl/>
        <w:spacing w:line="250" w:lineRule="exact" w:before="108" w:after="0"/>
        <w:ind w:left="144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Price : Rs. </w:t>
      </w:r>
      <w:r>
        <w:rPr>
          <w:rFonts w:ascii="FMAbabld,Bold" w:hAnsi="FMAbabld,Bold" w:eastAsia="FMAbabld,Bold"/>
          <w:b/>
          <w:i w:val="0"/>
          <w:color w:val="221F1F"/>
          <w:sz w:val="18"/>
        </w:rPr>
        <w:t xml:space="preserve">55'00 </w:t>
      </w:r>
      <w:r>
        <w:tab/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Postage : Rs.</w:t>
      </w:r>
      <w:r>
        <w:rPr>
          <w:rFonts w:ascii="FMAbabld,Bold" w:hAnsi="FMAbabld,Bold" w:eastAsia="FMAbabld,Bold"/>
          <w:b/>
          <w:i w:val="0"/>
          <w:color w:val="221F1F"/>
          <w:sz w:val="18"/>
        </w:rPr>
        <w:t xml:space="preserve"> 150'00</w:t>
      </w:r>
    </w:p>
    <w:p>
      <w:pPr>
        <w:autoSpaceDN w:val="0"/>
        <w:tabs>
          <w:tab w:pos="6900" w:val="left"/>
        </w:tabs>
        <w:autoSpaceDE w:val="0"/>
        <w:widowControl/>
        <w:spacing w:line="240" w:lineRule="auto" w:before="0" w:after="0"/>
        <w:ind w:left="144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307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18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L.D.-O 42/2019</w:t>
      </w:r>
    </w:p>
    <w:p>
      <w:pPr>
        <w:autoSpaceDN w:val="0"/>
        <w:autoSpaceDE w:val="0"/>
        <w:widowControl/>
        <w:spacing w:line="240" w:lineRule="exact" w:before="240" w:after="0"/>
        <w:ind w:left="1800" w:right="2416" w:firstLine="0"/>
        <w:jc w:val="both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AN ACT TO PROVIDE FOR THE ESTABLISHMENT OF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MICROFINANCE AND CREDIT REGULATORY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AUTHORITY OF SRI LANKA; TO REGULATE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MONEYLENDING BUSINESS AND THE MICROFINANCE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BUSINESS; TO PROVIDE PROTECTION FOR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CUSTOMERS OF THE MONEY LENDING BUSINESS AND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MICROFINANCE BUSINESS; TO REPEAL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MICROFINANCE ACT, NO. 6 OF 2016 AND TO PROVIDE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FOR MATTERS CONNECTED THEREWITH OR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INCIDENTAL THERETO.</w:t>
      </w:r>
    </w:p>
    <w:p>
      <w:pPr>
        <w:autoSpaceDN w:val="0"/>
        <w:autoSpaceDE w:val="0"/>
        <w:widowControl/>
        <w:spacing w:line="240" w:lineRule="exact" w:before="228" w:after="66"/>
        <w:ind w:left="180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7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9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(1) This Act may be cited as the Microfinance and Credit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Regulatory Authority Act, No.              of 2023.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and 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The provisions of this Act other than this section shall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come into operation on such date as the Minister may appoint,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(hereinafter referred to as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"appointed date").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60" w:right="0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The provisions of this section shall come into operation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on the date on which this Bill becomes an Act of Parliament.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16" w:after="0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0" w:lineRule="exact" w:before="200" w:after="100"/>
        <w:ind w:left="1728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ESTABLISHMENT     OF    THE    MICROFINANCE   AND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CREDIT    REGULATORY    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There shall be established an Authority which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 called the Microfinance and Credit Regulatory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Sri Lanka (in this Act referred to as the "Authority").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Microfinance</w:t>
            </w:r>
          </w:p>
        </w:tc>
      </w:tr>
      <w:tr>
        <w:trPr>
          <w:trHeight w:hRule="exact" w:val="185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and Credit</w:t>
            </w:r>
          </w:p>
        </w:tc>
      </w:tr>
      <w:tr>
        <w:trPr>
          <w:trHeight w:hRule="exact" w:val="19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The Authority shall by the name assigned to it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Regulatory</w:t>
            </w:r>
          </w:p>
        </w:tc>
      </w:tr>
      <w:tr>
        <w:trPr>
          <w:trHeight w:hRule="exact" w:val="1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(1), be a body corporate, with perpetual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succession and a common seal and may sue and be sued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name.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8" w:after="0"/>
        <w:ind w:left="14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5"/>
        </w:rPr>
        <w:t>1 - PL 014108 - 475 (10/2023)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720" w:right="72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50" w:after="0"/>
              <w:ind w:left="22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Objects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80"/>
        </w:trPr>
        <w:tc>
          <w:tcPr>
            <w:tcW w:type="dxa" w:w="3009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objects of the Authority shall be to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3009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regulate and supervise licensed moneylenders;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06" w:val="left"/>
        </w:tabs>
        <w:autoSpaceDE w:val="0"/>
        <w:widowControl/>
        <w:spacing w:line="240" w:lineRule="exact" w:before="180" w:after="154"/>
        <w:ind w:left="206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regulate and supervise licensed microfinance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5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6" w:right="1252" w:hanging="33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coordinate with the Central Bank and the relevant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regulatory authorities that regulate and supervise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registered co-operative societies, Samurdhi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Community Based Banks and Samurdhi Community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Based Banking Societies and Farmers’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Organisations; and</w:t>
            </w:r>
          </w:p>
        </w:tc>
      </w:tr>
    </w:tbl>
    <w:p>
      <w:pPr>
        <w:autoSpaceDN w:val="0"/>
        <w:tabs>
          <w:tab w:pos="2406" w:val="left"/>
        </w:tabs>
        <w:autoSpaceDE w:val="0"/>
        <w:widowControl/>
        <w:spacing w:line="240" w:lineRule="exact" w:before="170" w:after="154"/>
        <w:ind w:left="206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protect the customers of licensed moneylenders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licensed microfinance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powers, duties and functions of the Authority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to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90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766" w:right="54" w:hanging="33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licence and regulate persons engaged 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moneylending business and the business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2406" w:val="left"/>
        </w:tabs>
        <w:autoSpaceDE w:val="0"/>
        <w:widowControl/>
        <w:spacing w:line="218" w:lineRule="exact" w:before="182" w:after="134"/>
        <w:ind w:left="206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supervise persons engaged in the moneylending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business and microfinance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0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6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14" w:after="0"/>
              <w:ind w:left="0" w:right="2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10" w:after="0"/>
              <w:ind w:left="566" w:right="1254" w:hanging="33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determine policies on market conduct and supervise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regulate the licensees in line with market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developments;</w:t>
            </w:r>
          </w:p>
          <w:p>
            <w:pPr>
              <w:autoSpaceDN w:val="0"/>
              <w:autoSpaceDE w:val="0"/>
              <w:widowControl/>
              <w:spacing w:line="220" w:lineRule="exact" w:before="242" w:after="0"/>
              <w:ind w:left="566" w:right="1254" w:hanging="34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coordinate with the regulatory authorities including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Credit Information Bureau of Sri Lanka other than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Central Bank to implement a responsible 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culture among the licensed moneylenders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licensed microfinance institutions;</w:t>
            </w:r>
          </w:p>
          <w:p>
            <w:pPr>
              <w:autoSpaceDN w:val="0"/>
              <w:autoSpaceDE w:val="0"/>
              <w:widowControl/>
              <w:spacing w:line="226" w:lineRule="exact" w:before="232" w:after="0"/>
              <w:ind w:left="566" w:right="1254" w:hanging="33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liaise with and secure the co-operation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Government departments, State institutions, local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authorities, public corporations, provincial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2" w:lineRule="exact" w:before="164" w:after="166"/>
        <w:ind w:left="252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authorities and other private or public bodies,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governmental and non governmental organizations,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or any other natural or legal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3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2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64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0" w:right="1190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conduct credit counseling and financial literacy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programmes and awareness programmes 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moneylending and microfinance, for the general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public;</w:t>
            </w:r>
          </w:p>
          <w:p>
            <w:pPr>
              <w:autoSpaceDN w:val="0"/>
              <w:autoSpaceDE w:val="0"/>
              <w:widowControl/>
              <w:spacing w:line="238" w:lineRule="exact" w:before="240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establish a complaint handing mechanism to handle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complaints of the customers of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moneylending and licensed 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institutions and maintain a database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complaints;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38" w:lineRule="exact" w:before="180" w:after="150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(h) maintain a database of the licensed moneylenders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licensed microfinance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36" w:lineRule="exact" w:before="92" w:after="0"/>
              <w:ind w:left="27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conduct surveys and research on moneylending and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activities;</w:t>
            </w:r>
          </w:p>
          <w:p>
            <w:pPr>
              <w:autoSpaceDN w:val="0"/>
              <w:autoSpaceDE w:val="0"/>
              <w:widowControl/>
              <w:spacing w:line="238" w:lineRule="exact" w:before="240" w:after="0"/>
              <w:ind w:left="56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(j) hold, take, give on lease, hire, sell, mortgage, grant,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assign, exchange or otherwise dispose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movable or immovable property belonging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268" w:lineRule="exact" w:before="108" w:after="150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(k) receive grants, gifts or donations in cash or kind: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9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560" w:right="1190" w:firstLine="7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the Authority shall obtain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prior written approval of the Director-General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external resources of the Ministry of the Minister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whom the subject of Finance has been assigned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respect of all foreign grants, donations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bequeaths;</w:t>
            </w:r>
          </w:p>
          <w:p>
            <w:pPr>
              <w:autoSpaceDN w:val="0"/>
              <w:autoSpaceDE w:val="0"/>
              <w:widowControl/>
              <w:spacing w:line="248" w:lineRule="exact" w:before="228" w:after="0"/>
              <w:ind w:left="56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(l) enter into and execute, whether directly or through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officer or agent authorized in that behalf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Authority, all such contracts or agreements as may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 necessary, for the discharge of the functions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32"/>
        <w:ind w:left="2426" w:right="2520" w:hanging="37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(m) open and maintain any account with any bank as it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may think appropriate, and such account shall be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operated in accordance with prevailing applicable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written laws;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4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</w:tabs>
              <w:autoSpaceDE w:val="0"/>
              <w:widowControl/>
              <w:spacing w:line="240" w:lineRule="exact" w:before="108" w:after="0"/>
              <w:ind w:left="26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(n) manage, control, administer and operate the Fund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Authority;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154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(o) make rules for the administration of the affairs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5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(p) subject to the provisions of section 15, outsource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of its functions as may be determined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(q) formulate a procedure for the appointment,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promotion, remuneration and disciplinary control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employees and the grant of leave and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emoluments of such employees;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0"/>
        <w:ind w:left="212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(r) make rules for the payment of money out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Fund of the Authority;</w:t>
      </w:r>
    </w:p>
    <w:p>
      <w:pPr>
        <w:autoSpaceDN w:val="0"/>
        <w:tabs>
          <w:tab w:pos="2426" w:val="left"/>
        </w:tabs>
        <w:autoSpaceDE w:val="0"/>
        <w:widowControl/>
        <w:spacing w:line="240" w:lineRule="exact" w:before="240" w:after="132"/>
        <w:ind w:left="209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(s) to levy fees or charges for any service rendered by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Authority;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1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566" w:right="1252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(t) do all such other acts which may be incidental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conducive to the attainment of the objects of this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Act or the exercise or discharge of powers and duties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assigned to the Authority under this Act.</w:t>
            </w:r>
          </w:p>
        </w:tc>
      </w:tr>
    </w:tbl>
    <w:p>
      <w:pPr>
        <w:autoSpaceDN w:val="0"/>
        <w:autoSpaceDE w:val="0"/>
        <w:widowControl/>
        <w:spacing w:line="276" w:lineRule="exact" w:before="156" w:after="132"/>
        <w:ind w:left="0" w:right="458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44" w:right="14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ADMINISTRATION   AND   MANAGEMENT   OF  THE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AFFAIRS   OF   THE   AUTHORITY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2" w:after="0"/>
              <w:ind w:left="66" w:right="74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Directors</w:t>
            </w:r>
          </w:p>
        </w:tc>
      </w:tr>
      <w:tr>
        <w:trPr>
          <w:trHeight w:hRule="exact" w:val="6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administration, management and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affairs of the Authority shall be vested in a Board of Directors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(in this Act referred to as the "Board").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Board shall, for the purpose of administering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affairs of the Authority, exercise, perform and discharge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powers, duties and functions conferred on, assigned to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imposed on the Authority by this Act.</w:t>
      </w:r>
    </w:p>
    <w:p>
      <w:pPr>
        <w:autoSpaceDN w:val="0"/>
        <w:tabs>
          <w:tab w:pos="2040" w:val="left"/>
        </w:tabs>
        <w:autoSpaceDE w:val="0"/>
        <w:widowControl/>
        <w:spacing w:line="288" w:lineRule="exact" w:before="172" w:after="0"/>
        <w:ind w:left="15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(3) The Board shall consist of –</w:t>
      </w:r>
    </w:p>
    <w:p>
      <w:pPr>
        <w:autoSpaceDN w:val="0"/>
        <w:autoSpaceDE w:val="0"/>
        <w:widowControl/>
        <w:spacing w:line="266" w:lineRule="exact" w:before="214" w:after="154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the following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ex-officio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members, namely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4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4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6" w:after="0"/>
              <w:ind w:left="0" w:right="4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Secretary to the Treasury or his representative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who shall be a Deputy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Treasury nominated by the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Treasury;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(ii) the Deputy Governor of the Central Bank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charge of financial system stability nominated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the Central Bank or in his absence a Deputy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Governor nominated for the time being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Central Bank;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3000" w:right="2416" w:hanging="37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(iii) the Registrar of Voluntary Social Service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Organisations or his representative not below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rank of a Deputy Registrar of voluntary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Social Service Organisations;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9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the following four members appointed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Minister (hereinafter referred to as "appointed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members")-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6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two members who shall possess academic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professional qualifications and have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experience in the fields of banking, finance,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microfinance, accounting, law, 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any other relevant discipline; and</w:t>
            </w:r>
          </w:p>
          <w:p>
            <w:pPr>
              <w:autoSpaceDN w:val="0"/>
              <w:autoSpaceDE w:val="0"/>
              <w:widowControl/>
              <w:spacing w:line="240" w:lineRule="exact" w:before="224" w:after="0"/>
              <w:ind w:left="1060" w:right="1152" w:hanging="33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(ii) two other members nominated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Governor of the Central Bank who shall</w:t>
            </w:r>
          </w:p>
        </w:tc>
      </w:tr>
      <w:tr>
        <w:trPr>
          <w:trHeight w:hRule="exact" w:val="240"/>
        </w:trPr>
        <w:tc>
          <w:tcPr>
            <w:tcW w:type="dxa" w:w="1805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possess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academic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professional</w:t>
            </w:r>
          </w:p>
        </w:tc>
      </w:tr>
      <w:tr>
        <w:trPr>
          <w:trHeight w:hRule="exact" w:val="236"/>
        </w:trPr>
        <w:tc>
          <w:tcPr>
            <w:tcW w:type="dxa" w:w="1805"/>
            <w:vMerge/>
            <w:tcBorders/>
          </w:tcPr>
          <w:p/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qualifications and have experience in the fields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24" w:lineRule="exact" w:before="176" w:after="142"/>
        <w:ind w:left="2906" w:right="25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banking, finance, microfinance, accounting,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law, administration or any other relevant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discipline: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8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1246" w:right="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out of the four appointed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members at least one member shall be a female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0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9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0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Secretary to the Treasury or a Deputy Secretary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Treasury nominated by the Secretary to the Treasury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be the Chairperson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Where the Chairperson is temporarily unable to perform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duties of his office due to ill health, other infirmity, absence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from Sri Lanka or any other cause, the Minister may appoint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other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member to act as the Chairperson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addition to his normal duties as a 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52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Disquali-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fications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from being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member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14" w:lineRule="exact" w:before="164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person shall be disqualified from being appointed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continuing as a member of the Authority, if such person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7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8" w:after="0"/>
              <w:ind w:left="766" w:right="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is or becomes a Member of Parliament or of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Provincial Council or of any local authority or has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been a Member of Parliament or of any Provincial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Council or of any local authority during the two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years immediately preceding the date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appointment;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2" w:after="138"/>
        <w:ind w:left="20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is not or ceases to be a citizen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6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26" w:lineRule="exact" w:before="102" w:after="0"/>
              <w:ind w:left="23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is found or declared to be of unsound mind under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law in force in Sri Lanka or any other country;</w:t>
            </w:r>
          </w:p>
        </w:tc>
      </w:tr>
    </w:tbl>
    <w:p>
      <w:pPr>
        <w:autoSpaceDN w:val="0"/>
        <w:autoSpaceDE w:val="0"/>
        <w:widowControl/>
        <w:spacing w:line="230" w:lineRule="exact" w:before="120" w:after="146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is a person who, having been declared insolvent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bankrupt under any law in force in Sri Lanka or in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any other country and is an undischarged insolvent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or 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79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is serving or has served a sentence of imprisonment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a suspended sentence imposed by any court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Sri Lanka or in any other country;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60" w:lineRule="exact" w:before="160" w:after="172"/>
        <w:ind w:left="2520" w:right="2416" w:hanging="3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(f) holds or enjoys directly or indirectly any right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benefit under any contract made by or on behalf of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(g) has any financial or other interest as is likely to affect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30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office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appointed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prejudicially the discharge by him of his functions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a member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Every appointed member of the Board shall, unless 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earlier vacates office by resignation, death or removal, hold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office for a period of three years from the date of 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appointment and such member other than a member who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removed shall be eligible for re-appointment for not more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1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3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than three further terms, whether consecutive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otherwise.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Any appointed member of the Board may at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time, resign from his office by a letter to that effect, addressed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the Minister and such resignation shall be effective from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5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date on which it is accepted by the Minister in writing.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Where any appointed member by reason of illness,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infirmity or absence from Sri Lanka is temporarily unable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discharge the functions of his office, the Minister may, having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regard to the provisions of paragraph (b) of subsection (3)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5 appoint some other person to act in his place: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Provided that, no such appointment shall be made for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period exceeding three months. Upon the expiration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said period of three months, if the illness, infirmity or absence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from Sri Lanka still continues, such member shall cease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hold office from the date of expiration of such period.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 Minister may remove an appointed member from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office for reasons assigned. An appointed member who has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been removed from office shall not be eligible for re-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appointment as a member of the Board or to serve the Board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any other capacity.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8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Quorum and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Where an appointed member dies, resigns or 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removed from office, the Minister may having regard to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provisions of paragraph (b) of subsection (3) of section 5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 another person in his place and the person so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appointed shall hold office for the unexpired period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term of office of the member whom he succeeds.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(1) The meetings of the Board shall be held at least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once in three months and the Chairperson may however call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special meeting if a need arises to discuss any matter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importance.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20" w:after="94"/>
        <w:ind w:left="1706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quorum for a meeting of the Board shall be five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6" w:right="12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The Chairperson and the Deputy Governor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Central Bank shall be present at every meeting 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the Chairperson shall preside at every such meeting.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19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(4) A meeting of the Board may be held either –</w:t>
      </w:r>
    </w:p>
    <w:p>
      <w:pPr>
        <w:autoSpaceDN w:val="0"/>
        <w:autoSpaceDE w:val="0"/>
        <w:widowControl/>
        <w:spacing w:line="240" w:lineRule="exact" w:before="180" w:after="94"/>
        <w:ind w:left="2426" w:right="2518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by the number of members who constitute a quorum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being assembled at a place, date and time appointed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7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6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by means of audio-visual communication by which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all members participating and constituting a quorum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can simultaneously see and hear each participating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member for the duration of the meeting.</w:t>
            </w:r>
          </w:p>
          <w:p>
            <w:pPr>
              <w:autoSpaceDN w:val="0"/>
              <w:autoSpaceDE w:val="0"/>
              <w:widowControl/>
              <w:spacing w:line="240" w:lineRule="exact" w:before="180" w:after="0"/>
              <w:ind w:left="46" w:right="12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The Board may invite any expert on a relevant subject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matter or an official to attend the meetings of the Board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purpose of obtaining their views for the effective discharge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the functions of the Board, but such person or official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not have the right to vote at such meeting.</w:t>
            </w:r>
          </w:p>
          <w:p>
            <w:pPr>
              <w:autoSpaceDN w:val="0"/>
              <w:autoSpaceDE w:val="0"/>
              <w:widowControl/>
              <w:spacing w:line="240" w:lineRule="exact" w:before="180" w:after="0"/>
              <w:ind w:left="46" w:right="12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(6) All questions for decision at any meeting 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shall be decided by the vote of the majority of members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present at such meeting. In the case of an equality of votes,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Chairperson shall, in addition to his vote have a casting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vote.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634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(7) Subject to the preceding provisions of this section,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Board may regulate the procedure in relation to the meetings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the Board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Subject to the provisions of section 10, the Board may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 notwithstanding any vacancy among its members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not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be invalid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reason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act or proceeding of the Board shall not be or deemed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invalid by reason only of the existence of any vacancy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among its members or any defect in the appointment of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member thereof.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members of the Board, any expert or official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paid such allowance for each day on which he attends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Board,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experts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meeting, in such manner and at such rates as may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determined by the Minister in accordance with the relevant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Government circulars issued from time to time.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280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seal of the Authority shall be in the custody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persons as the Board may decide from time to time.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40" w:lineRule="exact" w:before="180" w:after="154"/>
        <w:ind w:left="1800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seal of the Authority may be altered in such manner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as may be determined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 seal of the Authority shall not be affixed to any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54" w:after="0"/>
              <w:ind w:left="7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Branches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instrument or document except with the sanction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members of the Board and in the presence of any two members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Board or any member of the Board and the Director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General, who shall sign the instrument or document in token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their presence.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The Board shall maintain a register of the instruments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documents to which the seal of the Authority has been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affixed.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Authority may where the members of the Board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consider it necessary to do so, establish its branches at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place within Sri Lanka.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0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Delegation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any power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or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function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80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4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may, whenever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considers it necessary and expedient, delegate any of its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powers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or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functions relevant to licencing, collection of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fees or charge levied under the Act and supervision of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moneylending and licensed microfinance institutions to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District Secretary or to a Divisional Secretary of any Divisional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Secretary’s Division as the case may be, so however, that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Authority shall remain and continue to remain responsible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District Secretary or the Divisional Secretary of any Divisional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Secretary’s Division in the exercise and performance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powers and functions delegated to him.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The Authority may give such directions as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Authority may deem necessary, to any District Secretary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any Divisional Secretary of any Divisional Secretary’s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Division with regard to the effective implementation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provisions of this Act and any rule made thereunder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every such officer to whom any such direction is given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required to comply with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Agreements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with other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7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0" w:after="0"/>
              <w:ind w:left="4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Authority may enter into any agreement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memorandum of understanding with any Government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institution or organization or any of its agency or any local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foreign regulatory or supervisory authority in relation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exchange of information on any matter which comes within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purview of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130" w:after="0"/>
        <w:ind w:left="0" w:right="456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6" w:lineRule="exact" w:before="236" w:after="92"/>
        <w:ind w:left="1728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DIRECTOR GENERAL   AND   THE   STAFF   OF  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8" w:after="0"/>
              <w:ind w:left="46" w:right="3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shall, with the concurrence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Minister, appoint a Director-General of the Authority, who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shall be the Chief Executive Officer and Secretary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69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706" w:right="2448" w:firstLine="24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Director-General shall, subject to the general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directions of the Authority on matters of policy and strategy,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4" w:lineRule="exact" w:before="170" w:after="146"/>
        <w:ind w:left="180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charged with the direction of the business of the Authority,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organization and execution of the powers, duties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functions of the Authority and the administrative control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employees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96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0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91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The Director-General may, with the approval in writing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the Authority, delegate in writing to any other employee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Authority such of his powers, duties and functions as 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from time to time consider necessary and the Director-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General shall remain and continue to remain to be responsible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employee in the exercise, performance and discharge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powers, duties and functions of such power delegated to him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any employee to whom any such powers, duties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functions are so delegated shall exercise, perform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discharge them subject to the general or special direction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Director-General.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36" w:lineRule="exact" w:before="176" w:after="146"/>
        <w:ind w:left="1800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(4) A person shall be disqualified from being appointed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continuing as the Director General of the Authority, if he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3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580" w:right="1188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is or becomes a Member of Parliament or of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Provincial Council or of any local authority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has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been a Member of Parliament or of any Provincial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Council or of any local authority during the two years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immediately preceding the date of appointment;</w:t>
            </w:r>
          </w:p>
        </w:tc>
      </w:tr>
    </w:tbl>
    <w:p>
      <w:pPr>
        <w:autoSpaceDN w:val="0"/>
        <w:autoSpaceDE w:val="0"/>
        <w:widowControl/>
        <w:spacing w:line="268" w:lineRule="exact" w:before="148" w:after="138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is not or ceases to be a citizen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36" w:lineRule="exact" w:before="98" w:after="0"/>
              <w:ind w:left="24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is found or declared to be of unsound mind under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law in force in Sri Lanka or any other country;</w:t>
            </w:r>
          </w:p>
          <w:p>
            <w:pPr>
              <w:autoSpaceDN w:val="0"/>
              <w:autoSpaceDE w:val="0"/>
              <w:widowControl/>
              <w:spacing w:line="234" w:lineRule="exact" w:before="238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is a person who, having been declared insolvent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bankrupt under any law in force in Sri Lanka or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other country and is an undischarged insolvent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bankrupt;</w:t>
            </w:r>
          </w:p>
        </w:tc>
      </w:tr>
    </w:tbl>
    <w:p>
      <w:pPr>
        <w:autoSpaceDN w:val="0"/>
        <w:autoSpaceDE w:val="0"/>
        <w:widowControl/>
        <w:spacing w:line="236" w:lineRule="exact" w:before="176" w:after="0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(e) is serving or has served a sentence of imprisonment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 a suspended sentence imposed by any court in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Sri Lanka or in any other country;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2426" w:right="2520" w:hanging="3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(f) holds or enjoys directly or indirectly any right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benefit under any contract made by or on behalf of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0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has any financial or other interest as is likely to affect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prejudicially the discharge by him of his functions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a member of the Authority.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80" w:after="154"/>
        <w:ind w:left="1706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(5) The Authority may with the concurrence of the Minister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remove the Director - General from office if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becomes permanently incapable of performing his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duties;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had done any act which in the opinion of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is of a fraudulent or illegal character or is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prejudicial to the interests of 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has failed to comply with any direction issued by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80" w:after="154"/>
        <w:ind w:left="1706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(6) The Director - General shall be paid such remuneration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as may be determined by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may, subject to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Act,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appoint, dismiss and exercise disciplinary control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over such staff as may be deemed necessary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to carry out the functions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Authority;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determine the terms and conditions of service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officers and employees of the Authority; and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74" w:after="0"/>
        <w:ind w:left="2426" w:right="252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fix the rates at which such officers and employees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shall be remunerated in consultation with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Minister.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6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2008"/>
        </w:trPr>
        <w:tc>
          <w:tcPr>
            <w:tcW w:type="dxa" w:w="300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8" w:after="0"/>
              <w:ind w:left="80" w:right="118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Without prejudice to the provisions of subsection (1)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section 15, the Authority may in writing delegate to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officer of the Authority any of its powers under this Act, so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however, that the Authority shall remain and continue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remain responsible for any act or thing done or omitted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done by such officer in the exercise of such powers delegated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him.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60" w:lineRule="exact" w:before="182" w:after="172"/>
        <w:ind w:left="1800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Rules may be made by the Authority in respect of all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any of the matters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0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Subject to and in accordance with such rules, if any, 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may be made by the Authority on that behalf,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may in writing authorise any officer of the Authority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represent the Authority for any of the purposes of this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so however, that the Authority shall remain to be responsible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officer in representing the Authority under such authorisation.</w:t>
            </w:r>
          </w:p>
          <w:p>
            <w:pPr>
              <w:autoSpaceDN w:val="0"/>
              <w:autoSpaceDE w:val="0"/>
              <w:widowControl/>
              <w:spacing w:line="26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At the request of the Authority any officer in the public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service may, with the consent of such officer and the Public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Service Commission be temporarily appointed to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for such period as may be determined by the Authority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 like consent be permanently appointed to such staff.</w:t>
            </w:r>
          </w:p>
          <w:p>
            <w:pPr>
              <w:autoSpaceDN w:val="0"/>
              <w:autoSpaceDE w:val="0"/>
              <w:widowControl/>
              <w:spacing w:line="260" w:lineRule="exact" w:before="238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(6) Where any officer in the public service is temporarily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appointed to the staff of the Authority,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(2) of section 14 of the National Transport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mutatis mutandis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and in relation to such officer.</w:t>
            </w:r>
          </w:p>
          <w:p>
            <w:pPr>
              <w:autoSpaceDN w:val="0"/>
              <w:autoSpaceDE w:val="0"/>
              <w:widowControl/>
              <w:spacing w:line="260" w:lineRule="exact" w:before="242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(7) Where any officer in the public service is permanently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appointed to the staff of the Authority,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(3) of section 14 of the National Transport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apply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and in relation to such 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1396"/>
        </w:trPr>
        <w:tc>
          <w:tcPr>
            <w:tcW w:type="dxa" w:w="3009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66" w:right="12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(8) Where the Authority employs any person who has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agreed to serve the Government for a specified period,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period of service to the Authority by that person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regarded as service to the Government for the purpose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discharging the obligations of such agreement.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20" w:after="94"/>
        <w:ind w:left="1706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(9) The Authority shall not appoint any person to the staff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the Authority where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been found guilty of serious misconduct;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54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Secondment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officers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Central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Bank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3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has been previously dismissed from office for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malpractice;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committed a breach of the provisions of this Act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rules made thereunder.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At the request of the Authority, any officer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Central Bank may with the consent of such officer and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Central Bank, be temporarily appointed to the staff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for such period as may be determined by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or with like consent be permanently appointed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staff of the Authority on such terms and conditions,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including those relating to pension or provident fund rights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may be agreed upon by the Authority and the Central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Bank.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Where any person is appointed whether temporarily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permanently under subsection (1) to the staff of the Authority,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he shall be subject to the same disciplinary control as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 officer or employee of the Authority.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96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76" w:lineRule="exact" w:before="144" w:after="82"/>
        <w:ind w:left="0" w:right="41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MONEYLENDERS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 person shall not carry on a 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 except with a licence granted by the Authority.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persons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carry out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 person who contravenes subsection (1) commits an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1800" w:right="2304" w:firstLine="24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Without prejudice to subsection (1), the provisions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subsection (1) shall not apply to the following institutions: -</w:t>
      </w:r>
    </w:p>
    <w:p>
      <w:pPr>
        <w:autoSpaceDN w:val="0"/>
        <w:tabs>
          <w:tab w:pos="2520" w:val="left"/>
        </w:tabs>
        <w:autoSpaceDE w:val="0"/>
        <w:widowControl/>
        <w:spacing w:line="240" w:lineRule="exact" w:before="240" w:after="0"/>
        <w:ind w:left="218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the Government of Sri Lanka, a Provincial Council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 local authority;</w:t>
      </w:r>
    </w:p>
    <w:p>
      <w:pPr>
        <w:autoSpaceDN w:val="0"/>
        <w:tabs>
          <w:tab w:pos="2174" w:val="left"/>
        </w:tabs>
        <w:autoSpaceDE w:val="0"/>
        <w:widowControl/>
        <w:spacing w:line="288" w:lineRule="exact" w:before="172" w:after="0"/>
        <w:ind w:left="15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the Central Bank;</w:t>
      </w:r>
    </w:p>
    <w:p>
      <w:pPr>
        <w:autoSpaceDN w:val="0"/>
        <w:autoSpaceDE w:val="0"/>
        <w:widowControl/>
        <w:spacing w:line="240" w:lineRule="exact" w:before="240" w:after="154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a licensed commercial bank or a licensed specialised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bank within the meaning of the Banking Act, No. 30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0" w:lineRule="exact" w:before="86" w:after="0"/>
              <w:ind w:left="2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a licensed finance company within the meaning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Finance Business Act, No. 42 of 2011;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160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(e) any registered leasing establishment registered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under the Finance Leasing Act, No. 56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0" w:right="1190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(f) a co-operative society registered under the Co-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operative Societies Law, No. 5 of 1972 and a co-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operative society registered under a statute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Provincial Council;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4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(g) a Samurdhi Community based bank or a Samurdhi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Community based banking Society established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under the Samurdhi Act, No. 1 of 2013;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3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0" w:lineRule="exact" w:before="96" w:after="0"/>
              <w:ind w:left="2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(h) an entity formed in terms of the Agrarian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Development Act, No. 46 of 2000;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520" w:right="2304" w:hanging="28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(i) any insurance company registered under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Regulation of Insurance Industry Act, No. 43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0" w:lineRule="exact" w:before="86" w:after="0"/>
              <w:ind w:left="27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(j) any pawnbroker licensed under the Pawnbrokers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Ordinance, (Chapter 90);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(k) any body corporate incorporated by a special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enactment empowered to lend money in accordance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with such special enactment;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21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(l) any company lending money to related companies;</w:t>
      </w:r>
    </w:p>
    <w:p>
      <w:pPr>
        <w:autoSpaceDN w:val="0"/>
        <w:autoSpaceDE w:val="0"/>
        <w:widowControl/>
        <w:spacing w:line="240" w:lineRule="exact" w:before="200" w:after="94"/>
        <w:ind w:left="2426" w:right="2520" w:hanging="37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(m) any company which lends money to its directors,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officers or employees as a benefit accorded to such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4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106" w:after="0"/>
              <w:ind w:left="24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(n) a foreign Government or any agency or institution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acting on behalf of a foreign government;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(o) the International Bank for Reconstruction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Development, the International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Association, the International Finance Corporation,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Asian Development Bank,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multilateral lending institution;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112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(p) any stock broker registered under the Securities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Exchange Commission of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(q) any person specified for the purposes of this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by the Minister by Order published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114" w:after="0"/>
        <w:ind w:left="19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(4) The provisions of subsection (1) shall not apply to –</w:t>
      </w:r>
    </w:p>
    <w:p>
      <w:pPr>
        <w:autoSpaceDN w:val="0"/>
        <w:tabs>
          <w:tab w:pos="2426" w:val="left"/>
        </w:tabs>
        <w:autoSpaceDE w:val="0"/>
        <w:widowControl/>
        <w:spacing w:line="240" w:lineRule="exact" w:before="200" w:after="84"/>
        <w:ind w:left="212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a sum of money lent by a person to any other person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only for a particular instance;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9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" w:after="0"/>
              <w:ind w:left="766" w:right="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 sum of money paid as subscription to a debt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instrument which may include bonds, debentures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hybrid debt instrument;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1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holding out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as a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a class or a category of transaction which has been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specified as exempted by the Minister from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application of the provisions of this Act, by an Order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 person shall not hold out as a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moneylender and shall not take or use or by inference adopt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name, title or description of a "licensed moneylender",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take or use or have attached to or exhibited at any place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name, title or description implying or tending to create the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0" w:lineRule="exact" w:before="172" w:after="202"/>
        <w:ind w:left="180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belief that such person is a licensed moneylender, without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obtaining a licence under subsection (1) of section 20 of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1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60" w:right="5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The Authority may determine whether a person 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engaged in the moneylending business having regard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frequency of transactions by such persons and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characteristics thereof.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20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for a licence</w:t>
            </w:r>
          </w:p>
        </w:tc>
      </w:tr>
      <w:tr>
        <w:trPr>
          <w:trHeight w:hRule="exact" w:val="16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0" w:after="0"/>
              <w:ind w:left="60" w:right="5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A person who contravenes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(1) commits an offence and shall, on conviction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after summary trial by a Magistrate be liable to a fine not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exceeding five million rupees or to imprisonment for either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description not exceeding five years or to both such fine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An application for a licence to carry on the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a moneylender shall be made in writing to the Director-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General in such form, accompanied by such documents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information and a processing fee as may be set out in rules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made in that behalf.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2" w:after="0"/>
              <w:ind w:left="60" w:right="5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Subject to subsection (2) of section 20,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entities shall be eligible to apply for a licence under subsection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(1):-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8" w:after="0"/>
              <w:ind w:left="780" w:right="5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a company incorporated under the Companies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No. 07 of  2007, and such company is not a company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limited by guarantee, an offshore company or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overseas company within the meaning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Companies Act, No. 07 of 2007: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7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6" w:after="0"/>
              <w:ind w:left="780" w:right="50" w:firstLine="7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a non governmental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organization registered under the Voluntary Social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Service Organizations (Registration and Supervision)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Act, No. 31 of 1980 and incorporated as a company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limited by guarantee under the Companies Act, No.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07 of 2007 shall be eligible to apply for a licence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214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a partnership registered under the Partnership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Ordinance (Chapter 83) or any statute of a Provincial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a society registered under the Societies Ordinance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32" w:after="0"/>
              <w:ind w:left="9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Issue of 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(Chapter 123) or incorporated under an Act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Parliament.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 Director - General may on receipt of an application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make such enquiries and call for such further information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documents to be produced within a specified period as 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considers necessary, and cause any place or places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 of the applicant to be examined.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Where any additional documents or information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required under subsection (3) by the Director-General is not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provided by the applicant within the period specified therein,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 may reject the relevant application, informing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person of the decision to reject such 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 The Director - General after considering the information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given in the application and as obtained upon an inquiry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examination made under subsection (3) shall recommend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 to either grant the licence or reject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having considered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recommendations made by the Director - General under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(5) of section 22, and any other matter in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opinion of the Authority is relevant, may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28" w:after="214"/>
        <w:ind w:left="2426" w:right="2518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issue a licence to the applicant to carry on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moneylending business subject to such terms and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conditions as the Authority may think fit;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7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4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reject the application, subject to the provision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27.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At any time during the duration of the licence,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may, add to, revoke or vary any of the terms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conditions of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(a) A licenced moneylender (hereinafter referred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the "moneylender") who wishes to renew its licence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Renewal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required to make an application for the same,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64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Conditions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licence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sixty days prior to the date of the expiry of the licence issued.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The application for the renewal of a licence shall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made in writing to the Director - General in such form,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accompanied by such documents or information and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processing fee as may be set out in rules made in that behalf.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provisions of subsection (3) of section 22 of this Act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apply to and in respect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processing of such 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An application made after the time specified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of this section may be accepted by the Director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 General up to thirty days before the date of expiry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licence, subject to an administrative charge not exceeding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rupees two million.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Where a licensed moneylender fails to apply for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renewal of a licence under subsections (1) and (2) of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section, such moneylender shall be prohibited from applying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 a new licence within a period of one year from the date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expiry of the licence issued to him.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5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licence issued under section 23 or renewed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24 shall–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80" w:after="154"/>
        <w:ind w:left="218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be subject to such conditions and requirements as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specified in the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0" w:lineRule="exact" w:before="86" w:after="0"/>
              <w:ind w:left="2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be subject to the payment of an annual licence fee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determined by the Authority;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(c) be valid for a period of one year;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20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(d) specify the date of expiry; and</w:t>
      </w:r>
    </w:p>
    <w:p>
      <w:pPr>
        <w:autoSpaceDN w:val="0"/>
        <w:autoSpaceDE w:val="0"/>
        <w:widowControl/>
        <w:spacing w:line="266" w:lineRule="exact" w:before="214" w:after="154"/>
        <w:ind w:left="20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(e) be non transferable.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moneylender shall at all times display the original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licence issued to him by the Authority, in a conspicuous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Display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licence at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places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place at the principal place of business and a copy of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licence at all other places of business.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Where an application is made for a licence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22 or for renewal of a licence under section 24 to carry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2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Refusal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grant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renew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on the moneylending business, the Authority may refuse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application on any of the following grounds: 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60" w:after="0"/>
        <w:ind w:left="209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the application was not made in accordance with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this Part;</w:t>
      </w:r>
    </w:p>
    <w:p>
      <w:pPr>
        <w:autoSpaceDN w:val="0"/>
        <w:autoSpaceDE w:val="0"/>
        <w:widowControl/>
        <w:spacing w:line="240" w:lineRule="exact" w:before="200" w:after="102"/>
        <w:ind w:left="2426" w:right="2448" w:hanging="34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the applicant has failed to comply with any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requirement of this Act or the rules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7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4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any information or document that is furnished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applicant to the Authority is false or misleading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from which there is a material omission;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2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the Authority is of the opinion that it would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contrary to the interests of its creditors or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stakeholders to grant or renew the licence;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112"/>
        <w:ind w:left="2426" w:right="2518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(e) the Authority is of the opinion that it would be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contrary to the financial sector and socio economic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circumstances of the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94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6" w:right="1254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the moneylending business of the applicant is being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wound up or otherwise dissolved or the applicant 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declared undischarged insolvent or bankrupt by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court within or outside Sri Lanka;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execution against the applicant in respect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judgment debt has been returned unsatisfied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whole or part;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52" w:lineRule="exact" w:before="164" w:after="166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(h) a receiver, a receiver and manager or an equivalent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person has been appointed within or outside Sri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Lanka in respect of any property of the applicant;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31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2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78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the applicant has, whether within or outside Sri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Lanka entered into a compromise or scheme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arrangement with its creditors, being a compromise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scheme of arrangement that is still in operation;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78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(j) any of the key management personnel, where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applicant is a company, any office bearer, where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applicant is a society, or any partner, where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applicant is a partnership, is subject to any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grounds set out in this section for the refusal of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application; or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7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(k) the Authority has reason to believe that the applicant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any of its key management personnel, office bearer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partner as the case may be, not be able to act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best interest of its clients having regard to their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reputation, character, financial integrity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reliability.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Where the Director - General determines that a key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management personnel is subject to any disqualification set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out in section 40, the Director - General shall inform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applicant of such determination in writing within thirty days: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60" w:right="1190" w:firstLine="7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the Director - General shall inform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applicant that if his application is to be processed, the key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management personnel in question is required to be removed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from such office and also to inform the Director - General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removal in order to start the processing of his application.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The Authority shall not refuse to grant or renew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licence without giving the applicant an opportunity of being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heard.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96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a licence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issued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licence issued by the Authority under this Part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at any time by a notification sent to the licencee in that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behalf, be cancelled where-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4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there exists such ground as provided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of section 27 on which the Authority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refuse an application for a licence;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114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the moneylender has contravened any condition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restriction in respect of its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the moneylender has contravened any rule binding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upon him as the case may be;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110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the moneylender has furnished false, misleading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inaccurate information or is concealing or failing to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disclose material facts to the Authority or has been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licensed upon a material misrepresentation;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7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the moneylender has failed to pay the annual licence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fee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administrative charge imposed under this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114"/>
        <w:ind w:left="212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(f) the moneylender has failed to commence business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within nine months from the issue of the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4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the moneylending business is being liquidated or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being wound up or otherwise dissolved;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114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(h) the moneylender has ceased to carry on the business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moneylending;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6" w:right="1252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the moneylender is carrying on his business, in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manner detrimental to the interest of its creditors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any other stakeholder; or</w:t>
            </w:r>
          </w:p>
        </w:tc>
      </w:tr>
    </w:tbl>
    <w:p>
      <w:pPr>
        <w:autoSpaceDN w:val="0"/>
        <w:autoSpaceDE w:val="0"/>
        <w:widowControl/>
        <w:spacing w:line="266" w:lineRule="exact" w:before="114" w:after="0"/>
        <w:ind w:left="21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(j) the moneylending business has a –</w:t>
      </w:r>
    </w:p>
    <w:p>
      <w:pPr>
        <w:autoSpaceDN w:val="0"/>
        <w:autoSpaceDE w:val="0"/>
        <w:widowControl/>
        <w:spacing w:line="268" w:lineRule="exact" w:before="172" w:after="0"/>
        <w:ind w:left="0" w:right="385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(i) key management personnel;</w:t>
      </w:r>
    </w:p>
    <w:p>
      <w:pPr>
        <w:autoSpaceDN w:val="0"/>
        <w:autoSpaceDE w:val="0"/>
        <w:widowControl/>
        <w:spacing w:line="266" w:lineRule="exact" w:before="174" w:after="0"/>
        <w:ind w:left="0" w:right="450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(ii) any office bearer; or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506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(iii) any partner,</w:t>
      </w:r>
    </w:p>
    <w:p>
      <w:pPr>
        <w:autoSpaceDN w:val="0"/>
        <w:autoSpaceDE w:val="0"/>
        <w:widowControl/>
        <w:spacing w:line="240" w:lineRule="exact" w:before="180" w:after="94"/>
        <w:ind w:left="252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who is subject to any disqualification set out in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section 40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Before the cancellation of a licence granted to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moneylender in terms of subsection (1) of this section,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moneylender shall be given written notice of such fact.</w:t>
            </w:r>
          </w:p>
        </w:tc>
      </w:tr>
    </w:tbl>
    <w:p>
      <w:pPr>
        <w:autoSpaceDN w:val="0"/>
        <w:autoSpaceDE w:val="0"/>
        <w:widowControl/>
        <w:spacing w:line="240" w:lineRule="exact" w:before="120" w:after="72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The moneylender may within fourteen days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receipt of such notice, show sufficient cause to the Authority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as to why his licence should not be cancelled.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60" w:right="118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After the consideration of the reasons given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moneylender under subsection (3), the Authority may within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ninety days of the issuance of the notice-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withdraw such notice; or</w:t>
      </w:r>
    </w:p>
    <w:p>
      <w:pPr>
        <w:autoSpaceDN w:val="0"/>
        <w:autoSpaceDE w:val="0"/>
        <w:widowControl/>
        <w:spacing w:line="266" w:lineRule="exact" w:before="154" w:after="84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cancel the licence issued to the moneylender.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 In the event of cancellation of a licence under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2" w:after="0"/>
              <w:ind w:left="5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Voluntary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 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(4), the moneylender concerned shall be notified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forthwith of such cancellation and the cancellation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licence shall take effect on the date of such cancellation or 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later date the Authority may deem appropriate.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shall publish a notice of such cancellation at least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one each of Sinhala, Tamil and English daily newspapers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circulating in Sri Lanka.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2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 moneylender may request from the Authority, at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time, to cancel the licence issued to him.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The Authority shall consider such request and, if there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38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is no reason to refuse the request of such moneylender, cancel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licence.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Whenever, a licence has been cancelled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under subsection (1) of section 28 or subsection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cancellation,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1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of section 29, the moneylender shall forthwith surrender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to surrender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licence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214"/>
        <w:ind w:left="1706" w:right="25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licence to the Director - General, and moneylender shall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remove any material in its places of business which advertises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that such moneylender is a licensed moneylender.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Refusal to renew a licence under subsections (1)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352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Forms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business that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may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carried out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of section 27 or cancellation of a licence under subsection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 of section 28 shall not affect any moneylending agreement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entered into, before such cancellation and shall not affect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such moneylender from recovering any loan granted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during the tenure of the licence.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 refusal to grant or renew a licence under section 27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cancellation of a licence by the Authority under section 28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not affect or prejudice the institution or maintenance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action against such moneylender under this Act or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 written law.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moneylender may carry on such forms of business,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subject to such conditions as may be imposed under this Act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any other written law or specified in the licence issued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moneylender.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30" w:after="188"/>
        <w:ind w:left="0" w:right="458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MICROFINANCE   BUSINESS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6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persons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carry on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No person, other than a person licensed to carry 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microfinance business under this Act or a person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exempted under paragraphs (c), (d), (e), (f) and (g)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(2) of section 20 shall carry on the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34" w:after="0"/>
        <w:ind w:left="1706" w:right="2518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Any person who carries on or advertises or announces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himself or holds himself out in any way as carrying on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microfinance business without a valid licence, commits 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offence under this Act.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A person shall not be eligible to be licensed as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microfinance institution unless such person is a licensed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moneylender under this Act, and such person shall be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782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3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a company registered under the Companies Act, No.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07 of 2007, and such company is not a company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limited by guarantee, a private company, an offshore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company or an overseas company within the meaning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Companies Act, No. 07 of 2007;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 non- government a organization 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Voluntary Social Service Organizations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(Registration and Supervision) Act, No. 31 of 1980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registered as a company limited by guarantee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under the Companies Act, No. 07 of 2007.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A person as specified in subsection (3) may apply for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licence to carry on a microfinance business, which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made in writing to the Director - General in such form,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accompanied by such documents or information as may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set out in rules made in that behalf.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Subsections (3), (4), (5) of section 22 and subsection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(1) of section 27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apply to and in respect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processing the application made under subsection (4).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8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(6) The Authority may having considered the reasons set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out by the Director - General on the past conduct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applicant during the period of carrying on the 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business, the matters set out in subsection (1) of section 27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this Act and any such other matters which in its opinion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merit inquiry may 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issue a licence to the applicant to carry on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microfinance business, subject to such terms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conditions as the Authority may think fit;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80" w:after="0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reject the application, subject to the provisions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section 27 as the Authority may think fit.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14"/>
        <w:ind w:left="1706" w:right="2518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(7) At any time during the duration of a licence,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may, add to, revoke or vary any of the conditions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6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6" w:right="12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(8) Upon a licence to carry on a microfinance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being issued to a moneylender, the licence granted to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moneylender to carry on a moneylending business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(1) of section 23 shall be deemed cancelled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moneylender shall –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766" w:right="1252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immediately surrender to the Authority the licence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granted by the Authority to carry on a 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business, and shall not display such licence or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copy thereof at any of its places of business; and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76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at all times display the licence issued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(6), in a conspicuous place at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principal place of business and a copy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licence at all other places of business.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46" w:right="12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(9) Provisions of sections 24, 25, 26, 27, 28, 29 and 30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mutandis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apply to and in respect of a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microfinance institution referred to in subsection (3)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(hereinafter referred to as a "microfinance institution").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46" w:right="12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(10) A microfinance institution may carry on such forms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business as set out in the Schedule to this Act, subject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conditions as may be imposed under this Act or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other written law or specified in the licence issued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licensed microfinance institution.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19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(11) Provisions of the –</w:t>
      </w:r>
    </w:p>
    <w:p>
      <w:pPr>
        <w:autoSpaceDN w:val="0"/>
        <w:autoSpaceDE w:val="0"/>
        <w:widowControl/>
        <w:spacing w:line="240" w:lineRule="exact" w:before="200" w:after="112"/>
        <w:ind w:left="2666" w:right="252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Regulation of the Insurance Industry Act, No. 43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2000, only for the purpose of providing micro-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credit insurance to borrowers;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7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3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0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Finance Leasing Act, No. 56 of 2000, only for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purpose of providing micro-leasing facilities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borrowers,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252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shall not apply to a microfinance institution, and 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microfinance institution shall carry on such business,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subject to such directions as may be issued by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Authority for the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may, without prejudice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provisions of subsection (1) of section 37, issue directions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8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Specific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directions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institutions or to any single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 or to any group or category of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institutions regarding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the terms and conditions under which deposits may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accepted as collateral by such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institution, the maximum rates of interest payable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on such deposits, the maximum period for which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deposits may be accepted and the maximum amount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that may be deposited with an institution by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customer.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the terms and conditions under which investments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may be made and the maximum permissible maturities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such 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the establishment of a reserve fund, minimum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percentage of annual after tax profit that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transferred to such fund and other operational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aspects of such fund;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(d) the minimum capital requirement;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46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the minimum ratio of the outstanding accommodation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granted to low – income persons and to micro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enterprises by a microfinance institution shall bear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the outstanding accommodation granted by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institution.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Any microfinance institution that fails to comply with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direction issued under subsection (1) may be required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pay an administrative charge as may be determined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not exceeding rupees two million.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40" w:lineRule="exact" w:before="240" w:after="142"/>
        <w:ind w:left="216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REGULATION   OF   MONEYLENDERS   AND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MICROFINANCE    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 person carrying on a moneylending business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business (hereinafter referred to as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Regulatory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approval</w:t>
            </w:r>
          </w:p>
        </w:tc>
      </w:tr>
      <w:tr>
        <w:trPr>
          <w:trHeight w:hRule="exact" w:val="3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"licensee") shall not 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8" w:after="46"/>
        <w:ind w:left="20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open any new place of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outsource its debt collection function, including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collection of debt through factoring or similar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arrangement;</w:t>
            </w:r>
          </w:p>
        </w:tc>
      </w:tr>
    </w:tbl>
    <w:p>
      <w:pPr>
        <w:autoSpaceDN w:val="0"/>
        <w:tabs>
          <w:tab w:pos="2578" w:val="left"/>
          <w:tab w:pos="2620" w:val="left"/>
        </w:tabs>
        <w:autoSpaceDE w:val="0"/>
        <w:widowControl/>
        <w:spacing w:line="336" w:lineRule="exact" w:before="0" w:after="46"/>
        <w:ind w:left="2098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(c) in the case of a company –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(i) establish a subsidiary;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(ii) amend its Articles of 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4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6" w:val="left"/>
              </w:tabs>
              <w:autoSpaceDE w:val="0"/>
              <w:widowControl/>
              <w:spacing w:line="240" w:lineRule="exact" w:before="74" w:after="0"/>
              <w:ind w:left="472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(iii) appoint new members to the board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directors; or</w:t>
            </w:r>
          </w:p>
        </w:tc>
      </w:tr>
    </w:tbl>
    <w:p>
      <w:pPr>
        <w:autoSpaceDN w:val="0"/>
        <w:tabs>
          <w:tab w:pos="2426" w:val="left"/>
          <w:tab w:pos="2518" w:val="left"/>
        </w:tabs>
        <w:autoSpaceDE w:val="0"/>
        <w:widowControl/>
        <w:spacing w:line="314" w:lineRule="exact" w:before="0" w:after="138"/>
        <w:ind w:left="2080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(iv) reduce its capital;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in the case of a society, change the office bearers;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(e) in the case of a partnership, change a partner,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9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without the prior approval of the Director - General.</w:t>
            </w:r>
          </w:p>
          <w:p>
            <w:pPr>
              <w:autoSpaceDN w:val="0"/>
              <w:autoSpaceDE w:val="0"/>
              <w:widowControl/>
              <w:spacing w:line="240" w:lineRule="exact" w:before="400" w:after="0"/>
              <w:ind w:left="46" w:right="12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Any licensee who fails to obtain the prior approval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Director - General as required under subsection (1), may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 required to pay a sum of money as an administrative charge,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 may be determined by the Authority not exceeding rupees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two million.</w:t>
            </w:r>
          </w:p>
        </w:tc>
      </w:tr>
    </w:tbl>
    <w:p>
      <w:pPr>
        <w:autoSpaceDN w:val="0"/>
        <w:autoSpaceDE w:val="0"/>
        <w:widowControl/>
        <w:spacing w:line="240" w:lineRule="exact" w:before="72" w:after="0"/>
        <w:ind w:left="1706" w:right="2520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The Director - General may issue directions to a licensee,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if considered necessary, when granting approval under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subsection (1).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2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Informing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events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Director 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7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28" w:lineRule="exact" w:before="160" w:after="0"/>
              <w:ind w:left="8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All licensees shall forthwith inform in writing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Director - General of the following events: –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being unable to meet its obligations or is about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become insolvent;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any action being filed in court for liquidation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licensee, in case of a company;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80" w:after="154"/>
        <w:ind w:left="218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any action filed for bankruptcy by a licensee in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court of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0" w:lineRule="exact" w:before="86" w:after="0"/>
              <w:ind w:left="2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dissolution or winding up in the case of a society;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66" w:lineRule="exact" w:before="134" w:after="154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(e) dissolution in the case of a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board of directors, partners or office bearers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company, partnership or society, as the case may be, shall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 continue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apply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liquidation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dissolution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winding up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continue to be subject to the provisions of any Order, rule,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determination or direction made under this Act as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may consider necessary, during the process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liquidation, dissolution or winding up.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0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Directions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licensees</w:t>
            </w:r>
          </w:p>
        </w:tc>
      </w:tr>
      <w:tr>
        <w:trPr>
          <w:trHeight w:hRule="exact" w:val="6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Notwithstanding the provisions of any 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law, and in addition to the powers vested in the Authority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under section 33, the Authority shall issue directions as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manner in which any aspect of the business and corporate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affairs of such licensees are to be conducted and in particular-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the maximum rates or amounts which may be charged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way of commissions, discounts, fees, penalties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other receipts or payments whatsoever;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80" w:after="0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method and manner of calculation of interest charged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on loans or any other financial accommodations;</w:t>
      </w:r>
    </w:p>
    <w:p>
      <w:pPr>
        <w:autoSpaceDN w:val="0"/>
        <w:autoSpaceDE w:val="0"/>
        <w:widowControl/>
        <w:spacing w:line="240" w:lineRule="exact" w:before="240" w:after="0"/>
        <w:ind w:left="2520" w:right="2304" w:hanging="332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collection of debt, including collection of debt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through factoring or any other similar arrangement;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the nature and amount of the security that may be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required or permitted for various types of loans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any other type of financial accommodation;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</w:tabs>
              <w:autoSpaceDE w:val="0"/>
              <w:widowControl/>
              <w:spacing w:line="240" w:lineRule="exact" w:before="86" w:after="0"/>
              <w:ind w:left="27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the minimum amount of capital or net assets to be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maintained;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0"/>
        <w:ind w:left="212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(f) internal controls, risk management or principles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corporate governance to be adopted;</w:t>
      </w:r>
    </w:p>
    <w:p>
      <w:pPr>
        <w:autoSpaceDN w:val="0"/>
        <w:tabs>
          <w:tab w:pos="2426" w:val="left"/>
        </w:tabs>
        <w:autoSpaceDE w:val="0"/>
        <w:widowControl/>
        <w:spacing w:line="240" w:lineRule="exact" w:before="240" w:after="0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(g) implementation of a code of governance and a code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conduct;</w:t>
      </w:r>
    </w:p>
    <w:p>
      <w:pPr>
        <w:autoSpaceDN w:val="0"/>
        <w:tabs>
          <w:tab w:pos="2080" w:val="left"/>
        </w:tabs>
        <w:autoSpaceDE w:val="0"/>
        <w:widowControl/>
        <w:spacing w:line="280" w:lineRule="exact" w:before="186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(h) criteria to assess the fitness and propriety of-</w:t>
      </w:r>
    </w:p>
    <w:p>
      <w:pPr>
        <w:autoSpaceDN w:val="0"/>
        <w:tabs>
          <w:tab w:pos="2906" w:val="left"/>
        </w:tabs>
        <w:autoSpaceDE w:val="0"/>
        <w:widowControl/>
        <w:spacing w:line="240" w:lineRule="exact" w:before="240" w:after="0"/>
        <w:ind w:left="262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(i) the directors, key management personnel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shareholders in the case of a company;</w:t>
      </w:r>
    </w:p>
    <w:p>
      <w:pPr>
        <w:autoSpaceDN w:val="0"/>
        <w:autoSpaceDE w:val="0"/>
        <w:widowControl/>
        <w:spacing w:line="266" w:lineRule="exact" w:before="214" w:after="0"/>
        <w:ind w:left="0" w:right="280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(ii) the office bearers, in case of a society; or</w:t>
      </w:r>
    </w:p>
    <w:p>
      <w:pPr>
        <w:autoSpaceDN w:val="0"/>
        <w:autoSpaceDE w:val="0"/>
        <w:widowControl/>
        <w:spacing w:line="266" w:lineRule="exact" w:before="214" w:after="130"/>
        <w:ind w:left="0" w:right="318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(iii) partners in the case of a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40" w:lineRule="exact" w:before="110" w:after="0"/>
              <w:ind w:left="28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restrictions on structural changes to corporate and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 affairs;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154"/>
        <w:ind w:left="214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(j) the form and manner of maintaining books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accounts or other records or documents;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(k) the form and manner of disclosing information to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customers;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86" w:right="1254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(l) the minimum requirements for educational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professional competence of employees of licensees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engaged in credit, recovery, marketing, complaints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handling, customer services and any other activity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which involves interaction with the customers;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0"/>
        <w:ind w:left="205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(m) the maximum ratio the total debt of a borrower should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bear to the total income of such borrower;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204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(n) publication of any data, information, report including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credit rating, financial statements, advertisements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 any other marketing material in any print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electronic media;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6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40" w:lineRule="exact" w:before="96" w:after="0"/>
              <w:ind w:left="25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(o) regulation of market conduct, including use 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agents and representatives and loan recoveries;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240" w:after="0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(p) establishing credit counseling centers, to provide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counseling and advisory services;</w:t>
      </w:r>
    </w:p>
    <w:p>
      <w:pPr>
        <w:autoSpaceDN w:val="0"/>
        <w:autoSpaceDE w:val="0"/>
        <w:widowControl/>
        <w:spacing w:line="266" w:lineRule="exact" w:before="274" w:after="214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(q) handling of customer complaints;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80" w:right="1152" w:hanging="30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(r) regulation of moneylending and 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businesses carried out using any electronic means.</w:t>
            </w:r>
          </w:p>
          <w:p>
            <w:pPr>
              <w:autoSpaceDN w:val="0"/>
              <w:autoSpaceDE w:val="0"/>
              <w:widowControl/>
              <w:spacing w:line="240" w:lineRule="exact" w:before="300" w:after="0"/>
              <w:ind w:left="60" w:right="118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Any licensee that fails to comply with any direction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issued under subsection (1) may be required to pay a sum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 as an administrative charge as may be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 not exceeding rupees two million.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192"/>
        <w:ind w:left="1800" w:right="2412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The Authority may issue directions to a holding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company, any subsidiary or an associate company of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licensee regarding the manner in which any aspect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business of such company is to be conducted: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 the provisions of this section shall not apply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 holding company, subsidiary or associate company which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subjected to the regulation of any financial sector regulatory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authority.</w:t>
            </w:r>
          </w:p>
          <w:p>
            <w:pPr>
              <w:autoSpaceDN w:val="0"/>
              <w:autoSpaceDE w:val="0"/>
              <w:widowControl/>
              <w:spacing w:line="240" w:lineRule="exact" w:before="30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Any holding company, subsidiary or associate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company of a licensee that fails to comply with any direction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issued under subsection (3) may be required to pay a sum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money as an administrative charge as may be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Authority, not exceeding rupees two million.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6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50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may make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may from time to time, make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rules as it may consider necessary in relation to any matter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affecting or connected with or incidental to the exercise,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performance and discharge of the powers, duties and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functions of the authority or any of its officers under this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including the following: -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14"/>
        <w:ind w:left="20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administration of the affairs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procedure for the appointment, promotion,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remuneration and disciplinary control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employees and the grant of leave and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emoluments of such employees;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0"/>
        <w:ind w:left="209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terms and conditions of service of the officers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employees of the Authority;</w:t>
      </w:r>
    </w:p>
    <w:p>
      <w:pPr>
        <w:autoSpaceDN w:val="0"/>
        <w:autoSpaceDE w:val="0"/>
        <w:widowControl/>
        <w:spacing w:line="266" w:lineRule="exact" w:before="174" w:after="108"/>
        <w:ind w:left="20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(d) payment of money out of the Fund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92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levying fees or charges for any service rendered by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</w:tbl>
    <w:p>
      <w:pPr>
        <w:autoSpaceDN w:val="0"/>
        <w:autoSpaceDE w:val="0"/>
        <w:widowControl/>
        <w:spacing w:line="268" w:lineRule="exact" w:before="112" w:after="0"/>
        <w:ind w:left="21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(f) criteria for licensing under this Act;</w:t>
      </w:r>
    </w:p>
    <w:p>
      <w:pPr>
        <w:autoSpaceDN w:val="0"/>
        <w:autoSpaceDE w:val="0"/>
        <w:widowControl/>
        <w:spacing w:line="266" w:lineRule="exact" w:before="174" w:after="114"/>
        <w:ind w:left="20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(g) processing fee for an application for a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4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(h) annual licence fee payable to the Authority by a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0"/>
        <w:ind w:left="214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(i) forms, documents or information to be used for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2426" w:val="left"/>
        </w:tabs>
        <w:autoSpaceDE w:val="0"/>
        <w:widowControl/>
        <w:spacing w:line="240" w:lineRule="exact" w:before="200" w:after="114"/>
        <w:ind w:left="214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(j) procedure to be adopted in holding inquiries under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section 51;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40" w:lineRule="exact" w:before="86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(k) giving effect to such guidelines issued by the Central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Bank; and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40" w:after="0"/>
        <w:ind w:left="214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(l) any other matter connected with the affairs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Authority.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228" w:lineRule="exact" w:before="172" w:after="140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Every rule made by the Authority under this Act shall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approved by the Minister and published in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Gazette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shall come into operation on the date of publication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on such later date as may be specified therein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16" w:lineRule="exact" w:before="124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Where the Authority is of the opinion that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Regulatory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actions</w:t>
            </w:r>
          </w:p>
        </w:tc>
      </w:tr>
      <w:tr>
        <w:trPr>
          <w:trHeight w:hRule="exact" w:val="11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200" w:right="5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carrying on or is in the process of carrying 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its business following unsound or improper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financial practices which are detrimental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interest of its creditors and other stakeholders;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200" w:right="5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has contravened or failed to comply with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provision of this Act or any direction, rule, order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requirement made or imposed thereunder,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Authority shall, take any one or more of the following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action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: –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28" w:after="140"/>
        <w:ind w:left="0" w:right="241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(i) direct such licensee to cease such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383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2" w:after="0"/>
              <w:ind w:left="0" w:right="5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5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90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(ii) direct such licensee to, forthwith or within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period as may be specified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Director - General, comply with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provisions of this Act, direction, rule, order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requirement made or imposed thereunder,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such licensee has failed to comply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with;</w:t>
            </w:r>
          </w:p>
          <w:p>
            <w:pPr>
              <w:autoSpaceDN w:val="0"/>
              <w:autoSpaceDE w:val="0"/>
              <w:widowControl/>
              <w:spacing w:line="228" w:lineRule="exact" w:before="240" w:after="0"/>
              <w:ind w:left="900" w:right="1190" w:hanging="374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(iii) direct such licensee to take necessary action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correct the negative conditions resulting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from such practice or contravention;</w:t>
            </w:r>
          </w:p>
          <w:p>
            <w:pPr>
              <w:autoSpaceDN w:val="0"/>
              <w:autoSpaceDE w:val="0"/>
              <w:widowControl/>
              <w:spacing w:line="228" w:lineRule="exact" w:before="240" w:after="0"/>
              <w:ind w:left="900" w:right="1188" w:hanging="39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(iv) restrain any director, manager, employee,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partner, office bearer or controller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licensee from carrying out any function in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relation to the licensee;</w:t>
            </w:r>
          </w:p>
        </w:tc>
      </w:tr>
    </w:tbl>
    <w:p>
      <w:pPr>
        <w:autoSpaceDN w:val="0"/>
        <w:tabs>
          <w:tab w:pos="3120" w:val="left"/>
        </w:tabs>
        <w:autoSpaceDE w:val="0"/>
        <w:widowControl/>
        <w:spacing w:line="236" w:lineRule="exact" w:before="172" w:after="0"/>
        <w:ind w:left="27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(v) remove any director, manager, partner, office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bearer or employee of the licensee;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1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12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 holding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office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8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(vi) impose an administrative charge not exceeding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sum of rupees two million on the licensee,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member of the board of directors, manager,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employee, partner or office bearer, as the case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0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be;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8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(vii) review any agreement or contract entered into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a customer or any other person with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 and vary the terms of such agreement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contract, including the terms relating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repayment, interest rates and charges where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it considers that such contract has been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entered into without due regard to the interests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borrowers and any other stakeholders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prudent commercial practices;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(viii) publish the name of the licensee as a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moneylender or microfinance institution, 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case may be regarding which the Authority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serious supervisory concerns.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Any person who fails to comply with an order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direction issued or pay any penalty imposed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commits an offence under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Any person aggrieved by any action taken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(1), may before the expiry of fourteen days from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date of the taking of such action, appeal in writing to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and the Authority shall render its decision within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ninety days of the receipt of such appeal.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person shall be disqualified from being appointed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elected as a key management personnel, partner or an office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bearer of a licensee as the case may be or from holding such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post, if such person –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52" w:after="0"/>
        <w:ind w:left="2426" w:right="252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is a person convicted of an offence or is being subject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any criminal prosecution involving fraud, deceit,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dishonesty, or any other improper conduct;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92"/>
        <w:ind w:left="2520" w:right="2304" w:hanging="34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has been declared an undischarged insolvent or 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bankrupt, by any court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66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2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has been convicted by any court for an offence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involving financial mismanagement or moral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turpitude;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580" w:right="1188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has been convicted by any court for any offence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under this Act, or the Banking Act, No. 30 of 1988,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Finance Business Act, No. 42 of 2011,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Finance Leasing Act, No. 56 of 2000, 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Companies Act, No. 07 of 2007;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5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is being subject to any investigation or inquiry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respect of an act of fraud, deceit, dishonesty or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similar criminal activity, by any regulatory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supervisory authority, professional association,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commission of inquiry, tribunal, or any other body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established by law within or outside in Sri Lanka;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580" w:right="1190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has been found guilty in respect of an act of fraud,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deceit, dishonesty or other similar criminal activity,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by any regulatory or supervisory authority,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professional association, commission of inquiry,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tribunal, or any other body established by law, within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outside Sri Lanka, at any time prior to being so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appointed or elected;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has been removed or suspended by a regulatory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supervisory authority from serving as a director,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chief executive officer or other officer in any bank,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finance company or corporate body within or outside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(h) has been removed or suspended by any bank,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finance company or corporate body within or outside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Sri Lanka, on the grounds of fraud, deceit,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dishonesty, or other similar criminal offence, from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14"/>
        <w:ind w:left="2426" w:right="25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serving as a director, chief executive officer or other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officer in any bank, finance company or corporate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body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2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40" w:lineRule="exact" w:before="86" w:after="0"/>
              <w:ind w:left="28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has been declared by a court of competent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jurisdiction to be of unsound mind;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100"/>
        <w:ind w:left="2426" w:right="2520" w:hanging="28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(j) has been a key management personnel of a licensed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bank, a licensed finance company, any registered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leasing establishment or any licensed insurance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company, whose licence has been cancelled;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0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2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42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(k) has been a director, chief executive officer or held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other position of authority in any body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corporate or in any unincorporated body which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Central Bank has determined as contravened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provisions of subsections (1) and (2) of section 2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Finance Business Act, No.42 of 2011, or similar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determination under Finance Companies Act, No.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78 of 1988;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4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(l) has been a key management personnel, an office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bearer, partner of any licensee, of which the licence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been cancelled by the Authority; or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2426" w:right="2520" w:hanging="37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(m) has failed to satisfy any judgment or order of any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court whether within or outside Sri Lanka, or to repay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 debt.</w:t>
      </w:r>
    </w:p>
    <w:p>
      <w:pPr>
        <w:autoSpaceDN w:val="0"/>
        <w:autoSpaceDE w:val="0"/>
        <w:widowControl/>
        <w:spacing w:line="278" w:lineRule="exact" w:before="214" w:after="142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EXAMINATION   OF   A  LICENSEE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2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Licensees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provide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documents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4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50" w:after="0"/>
              <w:ind w:left="46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Director - General may for ascertaining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manner in which business and corporate affairs of a licensee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are being conducted or for any other specified purpose,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require any licensee or person to submit documents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in such manner and form and at such intervals or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44"/>
        <w:ind w:left="180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at such times as may be specified from time to time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Director - General or any employee of the Authority designated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such purpose in the manner and within such time as may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be specified by the Director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Any licensee or person who fails to submit information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3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Examination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Licensees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under subsection (1), may be required to pay a sum of money,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an administrative charge, as may be determined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not exceeding two million rupees.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In this section "person" includes any officer of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department of the Government or any body of person,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corporate or unincorporate, whether established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constituted under any law or otherwise.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Director - General or any officer of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authorized by him, or any other person authorized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Director - General with the approval of the Authority, may at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time examine the books of accounts and records of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licensee, and for that purpose may do one or more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following: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require any licensee or a director, secretary, manager,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employee, auditor, agent, contractor, partner, office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bearer of a licensee to furnish him all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as he may consider necessary, within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period in a manner or form as may be specified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Director - General, and to produce for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inspection of books, records, files, registers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other documents, maintained in print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electronic form, of such licensee and to provide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authenticated copies in any form as required of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books, records, files, registers and such other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documents;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0" w:after="0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enter any premises or storage area or any property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such licensee, or any director, secretary, manager,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employee, auditor, agent, contractor, partner, office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bearer of such licensee, or any other place not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576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specified above, and notwithstanding anything to</w:t>
            </w:r>
          </w:p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contrary in any other law, examine books, records,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files, registers, and such other documents,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maintained in print or electronic form, of such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 and may obtain copies, authenticated or</w:t>
            </w:r>
          </w:p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otherwise, in any form of such books, records, files,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registers and such other documents;</w:t>
            </w:r>
          </w:p>
        </w:tc>
      </w:tr>
      <w:tr>
        <w:trPr>
          <w:trHeight w:hRule="exact" w:val="3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require any licensee or a director, manager, employee,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agent, contractor, partner, office bearer or secretary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any licensee to submit the accounts of such</w:t>
            </w:r>
          </w:p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licensee, furnish such information and produce such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books, records, files, registers, and such other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documents, maintained in print or electronic form,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 audit by an auditor authorized by the Director -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General;</w:t>
            </w:r>
          </w:p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(d) call for information by written notice, question and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record statements of or, if necessary, direct any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director, shareholder, secretary, manager, employee,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agent, auditor, partner, office bearer or contractor of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licensee or of any other person who may be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acquainted with or is aware of or is in possession of,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regarding the business or corporate</w:t>
            </w:r>
          </w:p>
        </w:tc>
      </w:tr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affairs of such licensee, to submit information or if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necessary, administer oath or affirmation in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accordance with the Oaths and Affirmation</w:t>
            </w:r>
          </w:p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Ordinance (Chapter 17);</w:t>
            </w:r>
          </w:p>
        </w:tc>
      </w:tr>
      <w:tr>
        <w:trPr>
          <w:trHeight w:hRule="exact" w:val="2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(e) require any related party of a licensee to furnish</w:t>
            </w:r>
          </w:p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as the Director - General may consider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necessary and to produce for inspection books,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records, files, registers and such other documents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maintained in print or electronic form, of such related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party and to provide authenticated copies in any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form as required of such books, records, files,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registers and such other documents;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252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the purposes of this paragraph "related party"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2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4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0" w:right="119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in the case of a company, any subsidiary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associate company of any licensee, or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subsidiary or associate company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holding company of any licensee, or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director, key management personnel, secretary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their close relations;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0" w:lineRule="exact" w:before="180" w:after="0"/>
              <w:ind w:left="48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(ii) in the case a partnership, a partner or close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relations of such partner;</w:t>
            </w:r>
          </w:p>
        </w:tc>
      </w:tr>
    </w:tbl>
    <w:p>
      <w:pPr>
        <w:autoSpaceDN w:val="0"/>
        <w:autoSpaceDE w:val="0"/>
        <w:widowControl/>
        <w:spacing w:line="240" w:lineRule="exact" w:before="100" w:after="94"/>
        <w:ind w:left="2592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(iii) in the case of a society, an office bearer,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close relations of such officer bearer;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4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60" w:right="1190" w:hanging="39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(iv) any other licensee or individual that 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view of the Director - General has a substantial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financial interest or significant management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interest in any licensee; or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32"/>
        <w:ind w:left="2520" w:right="2416" w:hanging="3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(f) take any other action which he may deem necessary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ascertain the true condition of the affairs of such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licensee during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36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The Authority may, if consider necessary, direct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Director- General to cause an examination on any licensee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purpose of ascertaining the true condition of the affairs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such licensee.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The Director - General shall upon conclusion of each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examination conducted in terms of subsections (1) and (2),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submit a report to the Authority on such examination.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If the Director - General, through documents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information received under subsection (1) of section 41, or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other manner whatsoever, ascertains that a licensee has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failed to comply with any direction, rule, order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determination issued under this Act, he shall report such fact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the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18" w:lineRule="exact" w:before="176" w:after="132"/>
        <w:ind w:left="1706" w:right="2520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(5) Upon receipt of a report under subsection (3) or (4),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may take any one or more of the regulatory actions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specified in section 39.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8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It shall be the duty of every person to comply with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requirement imposed on him under this Part and any person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Duty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comply with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requirement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imposed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Part</w:t>
            </w:r>
          </w:p>
        </w:tc>
      </w:tr>
      <w:tr>
        <w:trPr>
          <w:trHeight w:hRule="exact" w:val="11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2" w:after="0"/>
              <w:ind w:left="766" w:right="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fails to provide any information or produce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inspection any book, record, file, register or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other document, material or object required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Part;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18" w:lineRule="exact" w:before="142" w:after="132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fails to attend in person when summoned for an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interview;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provides false, incomplete or incorrect or misleading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information, book, record, file, register or such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document, material or object; or</w:t>
            </w:r>
          </w:p>
        </w:tc>
      </w:tr>
    </w:tbl>
    <w:p>
      <w:pPr>
        <w:autoSpaceDN w:val="0"/>
        <w:autoSpaceDE w:val="0"/>
        <w:widowControl/>
        <w:spacing w:line="218" w:lineRule="exact" w:before="106" w:after="0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obstructs the Director - General or any other person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authorized by the Director - General under subsection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(1) of section 42,</w:t>
      </w:r>
    </w:p>
    <w:p>
      <w:pPr>
        <w:autoSpaceDN w:val="0"/>
        <w:autoSpaceDE w:val="0"/>
        <w:widowControl/>
        <w:spacing w:line="266" w:lineRule="exact" w:before="430" w:after="0"/>
        <w:ind w:left="17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Commits an offence under this Act.</w:t>
      </w:r>
    </w:p>
    <w:p>
      <w:pPr>
        <w:autoSpaceDN w:val="0"/>
        <w:tabs>
          <w:tab w:pos="3672" w:val="left"/>
        </w:tabs>
        <w:autoSpaceDE w:val="0"/>
        <w:widowControl/>
        <w:spacing w:line="284" w:lineRule="exact" w:before="418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76" w:lineRule="exact" w:before="174" w:after="120"/>
        <w:ind w:left="0" w:right="37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CUSTOMER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1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46" w:right="7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licensee shall not issue, publish or demonstrate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advertisement, circular or any other material used for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purpose of marketing of its business, containing expressions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may imply or give an inference to the public that it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carries on banking business, finance business or,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business: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Not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engage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banking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business,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finance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business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7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0" w:after="0"/>
              <w:ind w:left="46" w:right="7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the provisions of this section shall not apply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 microfinance institution licensed under this Act to issue,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publish or demonstrate any advertisement, circular or any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16" w:lineRule="exact" w:before="178" w:after="132"/>
        <w:ind w:left="1800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other material used for the purpose of marketing of its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microfinance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29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Every licensee shall formulate a policy on customer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protection and market conduct, approved by the board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directors, the partners, or the office bearers, as the case may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be, and such policy shall be communicated to all employees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licensee.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8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Formulation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a policy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customer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Licensee 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 licensee</w:t>
            </w:r>
          </w:p>
        </w:tc>
      </w:tr>
      <w:tr>
        <w:trPr>
          <w:trHeight w:hRule="exact" w:val="6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20" w:lineRule="exact" w:before="136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enter into an agreement with all customers, which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be in writing, before granting a loan;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108" w:after="70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ensure that the customers to whom loans are granted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have the ability to repay such loans, in order to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prevent over- indebtedness;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5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specify at the time of entering into an agreement,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nominal interest rate and the annual effective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interest rate charged;</w:t>
            </w:r>
          </w:p>
        </w:tc>
      </w:tr>
    </w:tbl>
    <w:p>
      <w:pPr>
        <w:autoSpaceDN w:val="0"/>
        <w:autoSpaceDE w:val="0"/>
        <w:widowControl/>
        <w:spacing w:line="216" w:lineRule="exact" w:before="120" w:after="72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provide a loan statement or status of account to any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customer on his request, subject to a fee as may be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specified by the Authority;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26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8" w:after="0"/>
              <w:ind w:left="780" w:right="5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ensure treating its customers fairly and respectfully,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without any harassment, threatening, intimidation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humiliation exerted on such customers in carrying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out routine collection of loan installments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recovery of loans.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76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agreement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be entered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with a minor</w:t>
            </w:r>
          </w:p>
        </w:tc>
      </w:tr>
      <w:tr>
        <w:trPr>
          <w:trHeight w:hRule="exact" w:val="8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licensee shall not enter into any agreement to provide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loan or any other financial service to a person who has not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reached the age of majority.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Any agreement to provide a loan or any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financial service entered into by a licensee with its customer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0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loan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agreement</w:t>
            </w:r>
          </w:p>
        </w:tc>
      </w:tr>
    </w:tbl>
    <w:p>
      <w:pPr>
        <w:autoSpaceDN w:val="0"/>
        <w:autoSpaceDE w:val="0"/>
        <w:widowControl/>
        <w:spacing w:line="266" w:lineRule="exact" w:before="58" w:after="0"/>
        <w:ind w:left="2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be concise, easy to understand, and accurate;</w:t>
      </w:r>
    </w:p>
    <w:p>
      <w:pPr>
        <w:autoSpaceDN w:val="0"/>
        <w:autoSpaceDE w:val="0"/>
        <w:widowControl/>
        <w:spacing w:line="266" w:lineRule="exact" w:before="154" w:after="0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be available in Sinhala, Tamil or English languages</w:t>
      </w:r>
    </w:p>
    <w:p>
      <w:pPr>
        <w:autoSpaceDN w:val="0"/>
        <w:autoSpaceDE w:val="0"/>
        <w:widowControl/>
        <w:spacing w:line="266" w:lineRule="exact" w:before="0" w:after="0"/>
        <w:ind w:left="0" w:right="313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to the customer in his preferred language;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576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not include any terms and conditions which are</w:t>
            </w:r>
          </w:p>
        </w:tc>
      </w:tr>
      <w:tr>
        <w:trPr>
          <w:trHeight w:hRule="exact" w:val="4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44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unfair, misrepresented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exclude or restricts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liability of such licensee, excludes or restricts any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right of the customer or prevents the applicability of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provision of this Act or any direction or rule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issued thereunder or any written law, for the time</w:t>
            </w:r>
          </w:p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being in force;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(d) include all terms and conditions subject to which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 is lent or any other financial service is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provided to the customer, and any amendment,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modification made to such conditions shall not be</w:t>
            </w:r>
          </w:p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enforceable before a court of law, unless the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customer is notified in writing of such amendment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modification and such customer agrees in writing</w:t>
            </w:r>
          </w:p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the same;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426" w:right="251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(e) be explained to the customers by the licensee before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entering into agreement, on its contents and financial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implications, in his preferred language.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Any loan agreement or any guarantee or security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16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prohibited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 licensee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secure such loan, entered in contravention of the provisions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this Act or any rule, direction, determination issued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thereunder shall be null and void and shall not be enforceable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before any court of law.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licensee, shall not-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obtain the consent or signature of any person to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blank, incomplete or altered loan agreement, an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agreement to provide any other financial services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security document;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4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recover the total amount as the interest, at any time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excess of the principal amount lent;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20" w:after="0"/>
        <w:ind w:left="2426" w:right="2518" w:hanging="35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make any false, misleading or deceptive statement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any customer or conceal any material fact from 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customer;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04"/>
        <w:ind w:left="2520" w:right="2416" w:hanging="36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fraudulently induce or attempt to induce any person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enter into a loan agreement or any other agreement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provide financial services or to agree to any term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or condition;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77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2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00" w:right="1190" w:hanging="35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discriminate any segment of population based 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religion, gender or any other material factor relating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thereto;</w:t>
            </w:r>
          </w:p>
          <w:p>
            <w:pPr>
              <w:autoSpaceDN w:val="0"/>
              <w:autoSpaceDE w:val="0"/>
              <w:widowControl/>
              <w:spacing w:line="240" w:lineRule="exact" w:before="190" w:after="0"/>
              <w:ind w:left="600" w:right="1190" w:hanging="3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exert undue influence in lending money to any person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when recovering any such money from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person;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30" w:after="102"/>
        <w:ind w:left="215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(g) harass the customers in any manner when recovering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loans and providing any other financial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60" w:right="4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50.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Authority may establish credit counselling centers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at any of its branches and at any other place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deems necessary.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Credit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Counseling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Centers</w:t>
            </w:r>
          </w:p>
        </w:tc>
      </w:tr>
      <w:tr>
        <w:trPr>
          <w:trHeight w:hRule="exact" w:val="9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shall appoint an officer or officers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(hereinafter referred to as "inquiring officers") to handle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complaints received from customers aggrieved by a licensee.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2" w:after="0"/>
              <w:ind w:left="5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Handling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customer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complaints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made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For the purpose of subsection (1), the Authority shall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have the power to-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10" w:after="0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inquire and request the licensee, the complainant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any other person to submit information as it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may deem necessary;</w:t>
      </w:r>
    </w:p>
    <w:p>
      <w:pPr>
        <w:autoSpaceDN w:val="0"/>
        <w:autoSpaceDE w:val="0"/>
        <w:widowControl/>
        <w:spacing w:line="266" w:lineRule="exact" w:before="164" w:after="102"/>
        <w:ind w:left="21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conduct examinations under Part VII of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93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1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summon the licensee or the complainant or both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licensee and complainant for an inquiry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investigation.</w:t>
            </w:r>
          </w:p>
          <w:p>
            <w:pPr>
              <w:autoSpaceDN w:val="0"/>
              <w:autoSpaceDE w:val="0"/>
              <w:widowControl/>
              <w:spacing w:line="240" w:lineRule="exact" w:before="190" w:after="0"/>
              <w:ind w:left="6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An attorney at law shall not be entitled or be permitted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make a representation on behalf of any party who 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summoned by the Authority, for the purposes of subsection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0" w:lineRule="exact" w:before="166" w:after="124"/>
        <w:ind w:left="1706" w:right="2520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(4) The Authority may adopt an appropriate procedure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may be specified by rules for holding inquiries under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3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46" w:right="12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(5) The inquiring officer shall endeavor to bring the parties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an amicable settlement, and in the event of a failure to do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so, the Director - General may, considering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representations made by such parties to the Authority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recommendation of the inquiring officer and such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matters which in his opinion merit inquiry -</w:t>
            </w:r>
          </w:p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50" w:lineRule="exact" w:before="242" w:after="0"/>
              <w:ind w:left="43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take any one or more actions under subsection (1)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section 39;</w:t>
            </w:r>
          </w:p>
        </w:tc>
      </w:tr>
    </w:tbl>
    <w:p>
      <w:pPr>
        <w:autoSpaceDN w:val="0"/>
        <w:autoSpaceDE w:val="0"/>
        <w:widowControl/>
        <w:spacing w:line="250" w:lineRule="exact" w:before="180" w:after="154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issue directions to the licensee or the customer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both such licensee and customer as the case may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21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take both actions under paragraphs (a) and (b)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06" w:after="0"/>
              <w:ind w:left="8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Customer due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diligence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3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above.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 The Authority shall maintain a database of complaints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received by customers or licensees, and analyse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complaints to identify current and emerging issues in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moneylending business and microfinance business, patterns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such issues, recurrence of same issues and such other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similar concerns as the Authority may consider necessary.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It shall be the duty of every licensee, to ensure 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aspects of customer due diligence requirements as imposed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any other written law for the time being in force is complied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with, in carrying out their business.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For the purpose of subsection (1), the provisions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Financial Transactions Reporting Act, No. 6 of 2006,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Prevention of Money Laundering Act, No. 5 of 2006,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Convention on the Suppression of Terrorist Financing Act,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180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No. 25 of 2005 and any regulation, direction, rule,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determination, guideline or circular issued thereunder shall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apply to all such licensees.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43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 customer shall-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Responsibilities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customers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exercise reasonable due care in every transaction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 a licensee;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report forgeries or unauthorized transactions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effected to his account or facility, to the licensee, as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soon as he becomes aware of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02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take reasonable measures to identify the purpose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loan and obtain a sum of money as a loan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serve such purpose, which can be serviced without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default;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80" w:right="1190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(d) provide all information that are necessary for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licensee to grant any loan or accepting a security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against such loan without undue delay;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(e) inform the licensee of any financial difficulty that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may hinder the due payment of any loan obtained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as soon as possible;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0" w:right="1190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inform the licensee, at all times, of any changes made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his contact details during the servicing of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loan.</w:t>
            </w:r>
          </w:p>
        </w:tc>
      </w:tr>
    </w:tbl>
    <w:p>
      <w:pPr>
        <w:autoSpaceDN w:val="0"/>
        <w:autoSpaceDE w:val="0"/>
        <w:widowControl/>
        <w:spacing w:line="276" w:lineRule="exact" w:before="156" w:after="0"/>
        <w:ind w:left="0" w:right="445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76" w:lineRule="exact" w:before="204" w:after="120"/>
        <w:ind w:left="0" w:right="33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INVESTIGATION   OF  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provisions of this Part shall be in addition to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powers vested in the Director - General under Part VII of this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 addition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and shall not be construed so as to restrict the powers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Director - General under the said Part VII to examine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licensee.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2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604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Where the Authority receives any complaint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regarding a person connected with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commission of an offence under subsection (3) of section 21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subsection (2) of section 32, the Director - General shall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submit a certified copy of any complaint or information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received by him to an officer not below the rank of Assistant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Superintendent of Police, and request such officer to conduct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0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Court order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investigation on such complaint or information. It shall be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duty of such police officer to conduct an investigation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cause an investigation on the commission of such offence 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requested by the Director - General and may exercise 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powers of investigation provided under this Act or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law.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Notwithstanding the provisions of subsection (1) where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police officer has reasonable grounds to believe that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person is involved in any activity relating to an offence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Act, such officer, may investigate or cause an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investigation on such commission of offence and may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exercise all powers of investigation provided for in this Act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in any other law.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Where any person fails to provide any information,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book, record, file, register or such other document or material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to obtain</w:t>
            </w:r>
          </w:p>
        </w:tc>
      </w:tr>
      <w:tr>
        <w:trPr>
          <w:trHeight w:hRule="exact" w:val="4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object or provides false, incorrect or incomplete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information, book, record, file, register or such other document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material or object when required by a police officer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conducting an investigation under section 55, a police officer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not below the rank of an Assistant Superintendent of Police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make an application to a Magistrate for the issuance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order-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authorizing any person named in the application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inspect any book, record, file, register and such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documents maintained in print, electronic or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other form, material or object of the person who has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failed to comply with the requirement made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of section 55; or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40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Impounding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Passports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persons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investigated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requiring the person who has failed to comply with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requirement made in terms of subsection (1)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55, or a director, partner, member, secretary,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manager, employee, agent, contractor or auditor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person as may be named in the order, to produce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book, record, file, register and such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document maintained in print, electronic or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form, material or object of such person, to a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at a place specified in the order.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 police officer not below the rank of an Assistant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Superintendent of Police may at any time, make an application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a Magistrate to impound the passport of a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investigated in terms of subsection (1) of section 55.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39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60" w:right="48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In an event where the person investigated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(1) of section 55, is a body of persons, it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lawful for a police officer not below the rank of an Assistant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Superintendent of Police to make an application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applications, as may be necessary, to impound the passport-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if that body of persons is a body corporate, of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shareholder, director, manager or officer of the body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corporate;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40" w:after="112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if that body of persons is a partnership, of any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partner of such partnership;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13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80" w:right="5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if that body of persons is an unincorporated body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other than a partnership, of any member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body, or any officer of that body responsible for its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management and control.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74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Compounding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5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Director - General may with the approval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and having regard to the circumstances in which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offence under this Act was committed, compound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offence for a sum of money not exceeding rupees five million.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40" w:lineRule="exact" w:before="140" w:after="0"/>
        <w:ind w:left="1800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Compounding of any offence under subsection (1) shall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have the effect of an acquittal of the accused.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0" w:right="458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76" w:lineRule="exact" w:before="204" w:after="142"/>
        <w:ind w:left="0" w:right="359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OFFENCES   AND   PENALTIES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Any person, who being a director, secretary, chief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executive officer, manager, officer, employee, partner, office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Offences by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employees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bearer or auditor of a licensee-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2426" w:right="2448" w:hanging="32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fails to take all reasonable steps to ensure that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licencee complies with the requirements of this Act;</w:t>
      </w:r>
    </w:p>
    <w:p>
      <w:pPr>
        <w:autoSpaceDN w:val="0"/>
        <w:tabs>
          <w:tab w:pos="2426" w:val="left"/>
        </w:tabs>
        <w:autoSpaceDE w:val="0"/>
        <w:widowControl/>
        <w:spacing w:line="240" w:lineRule="exact" w:before="200" w:after="112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fails to comply with any direction issued or rule made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by the Authority under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6" w:right="1152" w:hanging="32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fails to comply with any direction issued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Director - General under the provisions of this Act;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108"/>
        <w:ind w:left="2426" w:right="2520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fails to take all reasonable steps to secure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accuracy of any statement submitted or published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by such licensee, under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55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2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58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(e) makes a false entry in any book, record, file, register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such other document or statement relating to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business affairs, transactions, conditions, assets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liabilities or accounts of such licensee or cause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entry to be made;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4" w:hanging="30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(f) omits to make an entry in any book, record, file,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register or such other document or statement relating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the business affairs, transactions, conditions,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assets or liabilities or accounts of such licensee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causes such entry to be omitted;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(g) alters, abstracts, conceals, erases or destroys any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entry in any book, record, file, register or such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document, or statement relating to the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affairs, transactions, conditions, assets or liabilities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accounts of such licensee, or causes any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entry to be altered, abstracted, concealed, erased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destroyed;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204"/>
        <w:ind w:left="2520" w:right="2416" w:hanging="34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(h) maintains multiple sets of books, records, files,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registers, or such other documents for the purpose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concealing the true condition of such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licensee,commits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Any person who contravenes or fails to comply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 any provision of this Act, any rule, direction, order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contravention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requirement issued or imposed, or fails to pay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administrative charge imposed thereunder commits an offence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under this Act and where for which no other punishment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expressly provided for in this Act, shall be liable on conviction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after summary trial by a Magistrate to a fine not exceeding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rupees five million or to imprisonment of either description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 a term not exceeding five years or to both such fine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0" w:lineRule="exact" w:before="174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Where an offence under this Act is committed by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body of persons, then-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60" w:after="214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if that body of persons is a body corporate, every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director, manager, officer or secretary of that body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0" w:lineRule="exact" w:before="106" w:after="0"/>
              <w:ind w:left="234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if that body of persons is a partnership, every partner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such partnership; or</w:t>
            </w:r>
          </w:p>
        </w:tc>
      </w:tr>
    </w:tbl>
    <w:p>
      <w:pPr>
        <w:autoSpaceDN w:val="0"/>
        <w:autoSpaceDE w:val="0"/>
        <w:widowControl/>
        <w:spacing w:line="240" w:lineRule="exact" w:before="260" w:after="152"/>
        <w:ind w:left="2520" w:right="2416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if that body of persons is an unincorporated body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other than a partnership, every member of such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body,shall be deemed to be guilty of that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74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3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54" w:after="0"/>
              <w:ind w:left="0" w:right="3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420" w:right="119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Provided that, a director, manager, officer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secretary of such body corporate or a partner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partnership or a officer of a unincorporated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body, shall not be deemed to be guilty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offence if he proves that such offence was committed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without his knowledge or that he exercised due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diligence to prevent the commission of such 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68"/>
        <w:ind w:left="1706" w:right="2520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Any person who abets, conspires or attempts to commit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 offence under this Act commits an offence and shall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punishable in the same manner as punishable for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substantive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2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46" w:right="12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(4) A director, manager or secretary of a body corporate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partner of a partnership or a member of an unincorporated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body ordered to pay a fine by a Magistrate under this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commits an offence if he applies any funds of such body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corporate, partnership or unincorporated body, as the case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be, for the payment of such fine or part thereof.</w:t>
            </w:r>
          </w:p>
        </w:tc>
      </w:tr>
    </w:tbl>
    <w:p>
      <w:pPr>
        <w:autoSpaceDN w:val="0"/>
        <w:autoSpaceDE w:val="0"/>
        <w:widowControl/>
        <w:spacing w:line="278" w:lineRule="exact" w:before="174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76" w:lineRule="exact" w:before="224" w:after="162"/>
        <w:ind w:left="0" w:right="451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shall have its own Fund (hereinafter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referred to as "the Fund").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4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The Parliament shall allocate a sum of rupees one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hundred million which shall be decided by the Minister from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Consolidated Fund as the initial capital of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such sum shall be credited to the Fund established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There shall be credited to the Fund 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200" w:after="172"/>
        <w:ind w:left="209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all such sums of money as may be voted from time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to time by Parliament, for the use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6" w:right="125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all such sums of money received by the Authority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exercise, performance and discharge of its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powers, duties and functions under this Act; and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2426" w:right="252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all such sums of money as may be received by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by way of income, fees, charges, grants,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gifts or donations from any source whatsoever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within or outside Sri Lanka.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94"/>
        <w:ind w:left="20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(4)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8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00" w:right="119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all such sums of money as are required to defray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 expenditure incurred by the Authority in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exercise, performance and discharge of its powers,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duties and functions under this Act;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0" w:lineRule="exact" w:before="120" w:after="0"/>
        <w:ind w:left="21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all such sums of money as are required to be paid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out of the Fund by or under this Act.</w:t>
      </w:r>
    </w:p>
    <w:p>
      <w:pPr>
        <w:autoSpaceDN w:val="0"/>
        <w:tabs>
          <w:tab w:pos="2040" w:val="left"/>
        </w:tabs>
        <w:autoSpaceDE w:val="0"/>
        <w:widowControl/>
        <w:spacing w:line="240" w:lineRule="exact" w:before="180" w:after="72"/>
        <w:ind w:left="1800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(5) The Authority shall make rules regarding the payment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money out of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3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 The net profit of the Authority at the end of each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4" w:after="0"/>
              <w:ind w:left="70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year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audit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financial year, after retaining with the approval of the Minister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amount required for increased capital requirement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Authority for the next immediate financial year, shall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credited to the Consolidated Fund.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2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Financial year of the Authority shall be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The Authority shall cause proper books of accounts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kept of the income and expenditure, assets and liabilities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98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Part II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Act, No. 38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1971</w:t>
            </w:r>
          </w:p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all other transactions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The provisions of Article 154 of the Constitution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relating to the audit of the accounts of public corporations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apply to the audit of accounts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The Authority shall submit the audited statement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accounts together with the Auditor-General’s report to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Minister within five months of the end of the financial year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which such report relates. The Minister shall place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statement and the report before Parliament within two months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receipt thereof.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63.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provisions of Part II of the Finance Act, No. 38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1971,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apply to and in respect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financial control and accounts of the Authority.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32" w:after="0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76" w:lineRule="exact" w:before="250" w:after="184"/>
        <w:ind w:left="0" w:right="448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150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6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Every director, manager, officer, employee and agent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any licensee and of any person authorized in terms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subsection (1) of section 42 shall observe strict secrecy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respect of all transactions of such licensee, its customers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and the state of accounts of any person and all matters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relating thereto and shall not reveal any such matter except-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8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Secrecy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transactions</w:t>
            </w:r>
          </w:p>
        </w:tc>
      </w:tr>
    </w:tbl>
    <w:p>
      <w:pPr>
        <w:autoSpaceDN w:val="0"/>
        <w:autoSpaceDE w:val="0"/>
        <w:widowControl/>
        <w:spacing w:line="268" w:lineRule="exact" w:before="196" w:after="0"/>
        <w:ind w:left="20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when required to do so-</w:t>
      </w:r>
    </w:p>
    <w:p>
      <w:pPr>
        <w:autoSpaceDN w:val="0"/>
        <w:tabs>
          <w:tab w:pos="2620" w:val="left"/>
        </w:tabs>
        <w:autoSpaceDE w:val="0"/>
        <w:widowControl/>
        <w:spacing w:line="308" w:lineRule="exact" w:before="216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(i) by a court of law;</w:t>
      </w:r>
    </w:p>
    <w:p>
      <w:pPr>
        <w:autoSpaceDN w:val="0"/>
        <w:autoSpaceDE w:val="0"/>
        <w:widowControl/>
        <w:spacing w:line="266" w:lineRule="exact" w:before="21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(ii) by the person to whom such matter relates;</w:t>
      </w:r>
    </w:p>
    <w:p>
      <w:pPr>
        <w:autoSpaceDN w:val="0"/>
        <w:tabs>
          <w:tab w:pos="2426" w:val="left"/>
        </w:tabs>
        <w:autoSpaceDE w:val="0"/>
        <w:widowControl/>
        <w:spacing w:line="222" w:lineRule="exact" w:before="302" w:after="198"/>
        <w:ind w:left="208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in the performance of the duties of such director,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manager, officer, employee and agent;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4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26" w:lineRule="exact" w:before="100" w:after="0"/>
              <w:ind w:left="258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(c) in order to comply with any of the provisions of this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 or any other written law.</w:t>
            </w:r>
          </w:p>
        </w:tc>
      </w:tr>
    </w:tbl>
    <w:p>
      <w:pPr>
        <w:autoSpaceDN w:val="0"/>
        <w:autoSpaceDE w:val="0"/>
        <w:widowControl/>
        <w:spacing w:line="226" w:lineRule="exact" w:before="206" w:after="196"/>
        <w:ind w:left="1706" w:right="2518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Subject to subsection (1), a licensee shall collect, store,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view and use customer data in a manner that effectively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protects the privacy of its customers.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65.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Except in the performance of his duties under this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every member, officer and employee of the Authority shall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preserve and aid in preserving secrecy with regard to all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matters and any information relating to the affairs of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6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Secrecy of</w:t>
            </w:r>
          </w:p>
        </w:tc>
      </w:tr>
      <w:tr>
        <w:trPr>
          <w:trHeight w:hRule="exact" w:val="4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26" w:lineRule="exact" w:before="238" w:after="0"/>
        <w:ind w:left="2098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any applicant who has made an application for 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licence under this Act;</w:t>
      </w:r>
    </w:p>
    <w:p>
      <w:pPr>
        <w:autoSpaceDN w:val="0"/>
        <w:tabs>
          <w:tab w:pos="2080" w:val="left"/>
          <w:tab w:pos="2098" w:val="left"/>
        </w:tabs>
        <w:autoSpaceDE w:val="0"/>
        <w:widowControl/>
        <w:spacing w:line="462" w:lineRule="exact" w:before="62" w:after="0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a licensee or any customer of such licensee; or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(c) any Government institution,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24" w:lineRule="exact" w:before="170" w:after="196"/>
        <w:ind w:left="180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that may have come to his knowledge in the performance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his duties under this Act or any other law for the time being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force and any such member, officer or employee 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3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1260" w:right="50" w:hanging="28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(i) communicates any such matter or information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any person other than to the Authority,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Director - General or an officer of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authorized in that behalf by the Authority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Director - General;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4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Posting</w:t>
            </w:r>
          </w:p>
        </w:tc>
      </w:tr>
      <w:tr>
        <w:trPr>
          <w:trHeight w:hRule="exact" w:val="16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4" w:after="0"/>
              <w:ind w:left="1260" w:right="50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(ii) suffers or permits any unauthorized person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have access to any books, papers or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records relating to any applicant for a licence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under this Act, licensee, any customer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licensee or any Government institution as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case may be,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commits an offence.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8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4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Where any notice is to be served on a licensee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this Act or where the Authority informs any regulatory action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taken under the Act to a licensee, proof of posting such notice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information to the address of the principal place of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a licensee, addressed to the principal officer,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sufficient to prove that such notice has been served on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3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proper notice</w:t>
            </w:r>
          </w:p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Notwithstanding anything to the contrary in this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Act or any other written law, the Central Bank may in order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strengthen the stability of the financial system and to make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qualitative improvements in the regulation and supervision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a licensee, issue guidelines to the Authority, and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Authority shall give effect to such guidelines issued by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Central Bank by making appropriate rules or issuing directions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by taking any other appropriate action.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Central Bank</w:t>
            </w:r>
          </w:p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to issue</w:t>
            </w:r>
          </w:p>
        </w:tc>
      </w:tr>
      <w:tr>
        <w:trPr>
          <w:trHeight w:hRule="exact" w:val="19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guidelines to</w:t>
            </w:r>
          </w:p>
        </w:tc>
      </w:tr>
      <w:tr>
        <w:trPr>
          <w:trHeight w:hRule="exact" w:val="12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30" w:lineRule="exact" w:before="222" w:after="0"/>
        <w:ind w:left="1800" w:right="2416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Central Bank may call for information from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Authority, from time to time, and it shall be the duty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Authority to submit such information in a timely manner.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6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2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moneylenders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and 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Authority shall maintain separate registers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licensees, where details of the licenses issued, conditions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requirements imposed on each licence and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information the Authority may deem appropriate, shall be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recorded.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240" w:after="200"/>
        <w:ind w:left="1706" w:right="2520" w:firstLine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Authority shall maintain a record of the basis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issuing and conditions and requirements imposed in issuing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each licence and where a licence is refused, reasons for such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refusal.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Authority may, from time to time, publish a notice,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at least one Sinhala, Tamil and English daily newspaper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List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licensees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be published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circulating in Sri Lanka, giving a list of licensees who have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been issued with a licence under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2" w:after="0"/>
              <w:ind w:left="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Pawnbrokers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Ordinance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not to apply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to a licensee</w:t>
            </w:r>
          </w:p>
        </w:tc>
      </w:tr>
      <w:tr>
        <w:trPr>
          <w:trHeight w:hRule="exact" w:val="6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provisions of the Pawnbrokers Ordinance (Chapter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90) shall not apply to any licensee and such licensee may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carry on the business of a pawnbroker subject to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directions issued by the Authority for the purpose.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No person other than a licensed moneylender,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institution exempted under subsection (3) of section 20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6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Use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words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"credit",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"microcredit",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"lending",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"lenders"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"moneylenders"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"microfinance"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 business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names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use as part of its name or its description, any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words, "credit", "microcredit", "lending", "lenders"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"moneylenders" or ''microfinance'' or any of their derivatives,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transliterations, or their equivalent in any other language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whether alone or in combination with any other word, without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prior written approval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2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No person other than a licensed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institution, or an entity exempted by subsection (1) of 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32 shall use as a part of its name or its description in its name,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word, "microfinance" or any of its derivatives or its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transliteration or its equivalent in any other language whether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alone or in combination with any other word, without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prior written approval of the Authority.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0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55</w:t>
            </w:r>
          </w:p>
        </w:tc>
      </w:tr>
      <w:tr>
        <w:trPr>
          <w:trHeight w:hRule="exact" w:val="1682"/>
        </w:trPr>
        <w:tc>
          <w:tcPr>
            <w:tcW w:type="dxa" w:w="300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4" w:after="0"/>
              <w:ind w:left="80" w:right="1190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A licensed microfinance institution shall have as part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its name the word "microfinance" and any such institution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does not have the word "microfinance" as part of its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name on the appointed date shall forthwith take such steps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 are necessary to change its name to include the words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"microfinance" within six months from the appointed date.</w:t>
            </w:r>
          </w:p>
        </w:tc>
      </w:tr>
    </w:tbl>
    <w:p>
      <w:pPr>
        <w:autoSpaceDN w:val="0"/>
        <w:autoSpaceDE w:val="0"/>
        <w:widowControl/>
        <w:spacing w:line="268" w:lineRule="exact" w:before="280" w:after="0"/>
        <w:ind w:left="20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(4) Nothing in this section shall apply to-</w:t>
      </w:r>
    </w:p>
    <w:p>
      <w:pPr>
        <w:autoSpaceDN w:val="0"/>
        <w:tabs>
          <w:tab w:pos="2520" w:val="left"/>
        </w:tabs>
        <w:autoSpaceDE w:val="0"/>
        <w:widowControl/>
        <w:spacing w:line="250" w:lineRule="exact" w:before="356" w:after="280"/>
        <w:ind w:left="218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any association of licensees formed for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protection of their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3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a trade union registered under the Trade Union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56" w:after="0"/>
              <w:ind w:left="80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Obligations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media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Ordinance (Chapter 138), which is an association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combination of workers who are employees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licensee;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 an institution in respect of which such usage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established or recognized by law by international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9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agreement.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Subject to subsection (3) of section 20, it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duty of any media institution to verify from any person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who offers to lend money, whether he is licensed under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before publishing an advertisement or any business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promotional publication relating to such activity.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The Director - General may send a notice to any media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 requiring such institution to refrain from publishing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advertisements on offering moneylending business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business by a person not licensed under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 or not exempted under subsection (3) of section 20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56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50" w:after="0"/>
              <w:ind w:left="9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institutions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"credit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intuitions"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purposes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CRIB Act</w:t>
            </w:r>
          </w:p>
        </w:tc>
      </w:tr>
      <w:tr>
        <w:trPr>
          <w:trHeight w:hRule="exact" w:val="7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6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For the purpose of the Credit Information Bureau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Sri Lanka Act, No. 18 of 1990-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licensed microfinance institutions shall be deemed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be "lending institutions"; and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4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licensed moneylenders shall be deemed to be "credit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granting institutions".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any prosecution of any person for contravention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of section 20 and subsection (1) of section 32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2" w:after="0"/>
              <w:ind w:left="66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Proof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grant of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this Act, the burden of proving that such person has been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granted a licence to carry on the moneylending business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microfinance business shall lie on such person.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Any copy of a document maintained by 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under this Act, certified by the Director - General to be a true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9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copies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accepted as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evidence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originals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copy of such document, shall be admissible in any court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law as evidence of the original of such document.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26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Provisions of the Money Lending Ordinance (Chapter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80) shall not apply to any licensee.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80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8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exempted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under Money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Lending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Ordinance</w:t>
            </w:r>
          </w:p>
        </w:tc>
      </w:tr>
      <w:tr>
        <w:trPr>
          <w:trHeight w:hRule="exact" w:val="25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77.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It shall be a defence in any criminal or civil proceeding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for anything done or omitted to be done by a member, Director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7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Defence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criminal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civil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- General or any employee of the Authority or any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authorized by the Authority or the Director - General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Act,  if he proves that he exercised due diligence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38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Expenses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reasonable care and acted in good faith in the course of or in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connection with the discharge or purported discharge of 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obligations under this Act or any rule, order or direction issued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made thereunder.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Any expenses incurred by a member of the Authority,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Director - General or any employee of the Authority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4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incurred to be</w:t>
            </w:r>
          </w:p>
        </w:tc>
      </w:tr>
      <w:tr>
        <w:trPr>
          <w:trHeight w:hRule="exact" w:val="7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paid out of</w:t>
            </w:r>
          </w:p>
        </w:tc>
      </w:tr>
      <w:tr>
        <w:trPr>
          <w:trHeight w:hRule="exact" w:val="1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any person authorized by the Authority or the Director 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General as the case may be in any suit or prosecution brought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against such person before any court in respect of any act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40" w:after="0"/>
              <w:ind w:left="7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 Anti-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which is done or purported to be done or omitted to be done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him under this Act or any direction, rule, order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requirement made or imposed thereunder, as the case may be,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shall, if the court holds that such act was done in good faith,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paid out of the Fund of the Authority, unless such expenses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are recovered by him in such suit or prosecution.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The Authority shall be deemed to be a Scheduled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Institution within the meaning of the Anti-Corruption Act,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No. 9 of 2023 and the provisions of Chapter I of Part III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Heading ''Offences relating to Bribery and Corruption''of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such Act, shal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be deemed to be applicable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or in relation to the provisions of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80.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All members of the Authority, the Director - General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all officers and employees of the Authority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Authority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purposes of the Penal Code (Chapter 19).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PART XIII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44" w:after="142"/>
        <w:ind w:left="0" w:right="344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TRANSITIONAL  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Notwithstanding anything to the contrary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subsection (1) of section 20, any person carrying on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carrying 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business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continue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business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twenty four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months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moneylending business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on the day preceding the date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coming into operation of this Act-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4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 may from the date of coming into operation of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continue to carry on such business for a period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twenty- four months;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shall comply with the provisions of this Act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apply for a licence to continue his business as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licensed moneylender, after such date as may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specified by the Authority by notice published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, calling for applications for licence under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2" w:lineRule="exact" w:before="176" w:after="204"/>
        <w:ind w:left="1706" w:right="2520" w:firstLine="39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date specified by the Authority under paragraph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of subsection (a) shall not be later than six months from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date this Act comes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16" w:lineRule="exact" w:before="122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The Microfinance Act, No. 6 of 2016 is hereby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Repealing of</w:t>
            </w:r>
          </w:p>
        </w:tc>
      </w:tr>
      <w:tr>
        <w:trPr>
          <w:trHeight w:hRule="exact" w:val="1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Microfinance</w:t>
            </w:r>
          </w:p>
        </w:tc>
      </w:tr>
      <w:tr>
        <w:trPr>
          <w:trHeight w:hRule="exact" w:val="178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90" w:after="0"/>
              <w:ind w:left="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(2) Notwithstanding the repeal of the Microfinance Act,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No. 6 of 2016, every regulation, notice, Order, rule, guideline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direction issued, requirement imposed, determination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delegation made thereunder and in force on the day preceding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date this Act comes into operation shall in so far as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regulation, notice, Order, rule, guideline, direction,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requirement, determination or delegation is not inconsistent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with the provisions of this Act, be deemed to be a regulation,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notice, Order, rule, guideline, direction, requirement,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determination or delegation issued, imposed or made, as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case may be, under the provisions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10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8" w:after="0"/>
              <w:ind w:left="46" w:right="54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(3) With effect from the appointed date, all examinations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initiated, or supervisory measures taken under the repealed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Act and pending on the day immediately preceding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appointed date shall be deemed to be examinations conducted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 being conducted or supervisory measures taken or being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taken, as the case may be under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78" w:after="0"/>
              <w:ind w:left="8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Intuitions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 deemed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be licensed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7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6" w:val="left"/>
              </w:tabs>
              <w:autoSpaceDE w:val="0"/>
              <w:widowControl/>
              <w:spacing w:line="218" w:lineRule="exact" w:before="192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(1) (a) Any microfinance company licensed under the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repealed Microfinance Act, No. 6 of 2016;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0" w:after="0"/>
              <w:ind w:left="866" w:right="5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any microfinance non- governmental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organization registered under the repealed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Microfinance Act, No. 6 of 2016, and compliant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 subsection (3) of section 32 of this Act,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7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6" w:after="0"/>
              <w:ind w:left="46" w:right="52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which is carrying on microfinance business on the day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preceding the date this Act comes into operation shall, with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effect from the date  this Act comes into operation be deemed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be a licensed microfinance institution licensed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32 of 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96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Interpretations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(2) Any microfinance non-governmental organization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registered under the repealed Microfinance Act, No.6 of 2016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shall continue to carry on microfinance business in its existing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legal form for a period not exceeding twelve months from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date this Act comes into operation and comply with subsection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of section 32 of this Act within that period.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 Any microfinance non-governmental organization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registered under the repealed Microfinance Act, No. 6 of 2016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which fails to comply with subsection (2) shall be deemed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 a microfinance non-governmental organization of which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registration has been cancelled.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 All actions, proceedings or matters instituted in terms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repealed Microfinance Act, No. 6 of 2016 and pending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any court referred to therein on the day preceding the date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 comes into operation shall from and after the date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 comes into operation be heard and determined by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said court in terms of the provisions of the repealed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Microfinance Act, No. 6 of 2016.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this Act, unless the context otherwise requires –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5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"age of majority" shall have the same meaning assigned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it under the Age of Majority Ordinance (Chapter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66);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5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"Asian Development Bank" means the Asian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Development Bank established under section 2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Asian Development Bank Agreement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(Ratification) Act, No. 21 of 1966;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5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"associate company" shall have the meaning assigned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it under the Sri Lanka Accounting Standard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(SLAS) 28 on Investment in Associates and Joint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Ventures or any other similar accounting standard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applicable in Sri Lanka from time to time.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154"/>
        <w:ind w:left="2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"auditor"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2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06" w:right="124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an individual who being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Institute of Chartered Accountants of Sri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Lanka or of any other Institute established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law, possesses a certificate to practice as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Institute;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06" w:right="1244" w:hanging="346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(b) a firm of Accountants each of the resident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partners of which being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Institute of Chartered Accountants of Sri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Lanka or of any other Institute established by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law possesses a certificate to practice as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Institute.</w:t>
            </w:r>
          </w:p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40" w:lineRule="exact" w:before="240" w:after="0"/>
              <w:ind w:left="28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"borrower" means a person to whom money is lent by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licensee;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0"/>
        <w:ind w:left="2426" w:right="2520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"Central Bank" means the Central Bank of Sri Lanka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established under the Central Bank of Sri Lanka Act,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No. 16 of 2023;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526" w:right="1152" w:hanging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"close relations" means the spouse, domestic partner,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children, parents and siblings by blood or adoption;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0"/>
        <w:ind w:left="2426" w:right="2520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"collateral deposit" means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savings deposit obtained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a collateral from a borrower against a lending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facility granted to such borrower;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"Credit Information Bureau of Sri Lanka" means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Credit Information Bureau of Sri Lanka established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under section 2 of the Credit Information Bureau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Sri Lanka Act, No. 18 of 1990;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"deposit" shall have the meaning assigned to it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Finance Business Act, No. 42 of 2011 as may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amended from time to time;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8" w:after="0"/>
              <w:ind w:left="0" w:right="3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4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64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720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61</w:t>
            </w:r>
          </w:p>
        </w:tc>
      </w:tr>
      <w:tr>
        <w:trPr>
          <w:trHeight w:hRule="exact" w:val="6996"/>
        </w:trPr>
        <w:tc>
          <w:tcPr>
            <w:tcW w:type="dxa" w:w="3009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540" w:right="1188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"financial regulatory authority" means anybody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corporate established by law to regulate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supervise a specific sector of the financial system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Sri Lanka, and includes the Central Bank of Sri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Lanka, the Securities and Exchange Commission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Sri Lanka, and the Insurance Regulatory Commission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Sri Lanka;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"holding company" shall have the same meaning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assigned to it under the Companies Act, No. 07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2007;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"International Bank for Reconstruction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Development" means the International Bank for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Reconstruction and Development established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pursuance of agreements drawn up at the United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Nations Monetary and Financial Conference held at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Bretton Woods in New Hampshire in the United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States of America in July 1944;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"International Development Association" means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International Development Association established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under the Schedule of the International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Association Agreement Act, No. 7 of 1961;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"International Finance Corporation" means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International Finance Corporation established under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Schedule as the International Finance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Corporation Agreement Act, No. 28 of 1978;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114"/>
        <w:ind w:left="2520" w:right="2416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"key management personnel" means a person having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authority and responsibility for planning, directing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controlling the activities of any licensee directly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or indirectly including any 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2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"market conduct" means the behaviour or conduct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participants of a market to carry out their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through sales, promotions, distributions,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administration and similar kind of business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activities;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432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"microfinance business" means business of lending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money at interest or in consideration of profit or</w:t>
            </w:r>
          </w:p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loss arising from the proceeds of lending being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shared between the lender and the borrower with or</w:t>
            </w:r>
          </w:p>
        </w:tc>
      </w:tr>
      <w:tr>
        <w:trPr>
          <w:trHeight w:hRule="exact" w:val="24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without a security and provision of other financial</w:t>
            </w:r>
          </w:p>
        </w:tc>
      </w:tr>
      <w:tr>
        <w:trPr>
          <w:trHeight w:hRule="exact" w:val="25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8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services in conformity with the Schedule to this Act,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mainly to low income persons and micro enterprises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with the primary objective of social empowerment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while maintaining sustainability of the lender and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borrower;</w:t>
            </w:r>
          </w:p>
        </w:tc>
      </w:tr>
    </w:tbl>
    <w:p>
      <w:pPr>
        <w:autoSpaceDN w:val="0"/>
        <w:autoSpaceDE w:val="0"/>
        <w:widowControl/>
        <w:spacing w:line="246" w:lineRule="exact" w:before="180" w:after="160"/>
        <w:ind w:left="2426" w:right="2520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"microfinance institution" means an institution licensed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the Authority under Part V of this Act to carry on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microfinance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80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6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52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"Minister" means the Minister to whom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Microfinance and Credit Regulatory Authority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Sri Lanka is assigned under Article 44 or 45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Constitution;</w:t>
            </w:r>
          </w:p>
          <w:p>
            <w:pPr>
              <w:autoSpaceDN w:val="0"/>
              <w:autoSpaceDE w:val="0"/>
              <w:widowControl/>
              <w:spacing w:line="246" w:lineRule="exact" w:before="240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"microfinance non-governmental organization" means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non-governmental organization issued with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certificate of registration by the Registrar of Voluntary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Social Service Organizations under subsection (3)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of section 20 of the repealed Microfinance Act, No.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6 of 2016 or a non-governmental organization issued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with a licence under subsection (6) of section 32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this Act;</w:t>
            </w:r>
          </w:p>
          <w:p>
            <w:pPr>
              <w:autoSpaceDN w:val="0"/>
              <w:autoSpaceDE w:val="0"/>
              <w:widowControl/>
              <w:spacing w:line="246" w:lineRule="exact" w:before="240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"moneylender" means any person who carries on or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advertises or announces himself or holds himself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out in any way as carrying on a moneylending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business whether or not he carries on any other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business;</w:t>
            </w:r>
          </w:p>
        </w:tc>
      </w:tr>
    </w:tbl>
    <w:p>
      <w:pPr>
        <w:autoSpaceDN w:val="0"/>
        <w:autoSpaceDE w:val="0"/>
        <w:widowControl/>
        <w:spacing w:line="246" w:lineRule="exact" w:before="180" w:after="0"/>
        <w:ind w:left="2426" w:right="2520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"moneylending agreement" means a written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understanding between a licensee and a borrower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which defines the terms and conditions applicable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63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154"/>
        <w:ind w:left="2520" w:right="24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sum of money lent by such licensee to such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borrower and includes any amendment, addendum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supplement thereto;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3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42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"moneylending business" means lending of money at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interest with or without security by a moneylender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 a borrower whether or not such moneylender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carries on any business and shall include lending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sum of money in consideration of profit or loss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arising from being shared between a moneylender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a borrower;</w:t>
            </w:r>
          </w:p>
        </w:tc>
      </w:tr>
    </w:tbl>
    <w:p>
      <w:pPr>
        <w:autoSpaceDN w:val="0"/>
        <w:autoSpaceDE w:val="0"/>
        <w:widowControl/>
        <w:spacing w:line="246" w:lineRule="exact" w:before="174" w:after="142"/>
        <w:ind w:left="2520" w:right="2416" w:hanging="24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"office bearer" means the president, vice president,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secretary or treasurer or any other person holding a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similar office or position in a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s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"Registrar of Voluntary Social Services Organizations"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means the Registrar of Voluntary Social Services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Organisations appointed under section 2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Voluntary Social Services Organisations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(Registration and Supervision) Act, No. 31 of 1980;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0" w:lineRule="exact" w:before="240" w:after="0"/>
              <w:ind w:left="30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"related company" means a company which is related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to another company if –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40" w:lineRule="exact" w:before="160" w:after="0"/>
        <w:ind w:left="271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(i) that company is the subsidiary or holding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company of the other company;</w:t>
      </w:r>
    </w:p>
    <w:p>
      <w:pPr>
        <w:autoSpaceDN w:val="0"/>
        <w:tabs>
          <w:tab w:pos="3000" w:val="left"/>
        </w:tabs>
        <w:autoSpaceDE w:val="0"/>
        <w:widowControl/>
        <w:spacing w:line="240" w:lineRule="exact" w:before="240" w:after="114"/>
        <w:ind w:left="266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(ii) the holding company of that company is also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 holding company of the other;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2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240" w:lineRule="exact" w:before="126" w:after="0"/>
              <w:ind w:left="64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(iii) that company is related to a company which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is related to the other company: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40" w:right="1190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"Securities and Exchange Commission of Sri Lanka"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means the Securities and Exchange Commission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Sri Lanka established under section 4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Securities and Exchange Commission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Act, No. 19 of 2021;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4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432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"significant management interest" means the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controlling power over the control and management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a microfinance institution irrespective of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shareholding by a director or a member of a senior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executive management –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54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(a) directly;</w:t>
      </w:r>
    </w:p>
    <w:p>
      <w:pPr>
        <w:autoSpaceDN w:val="0"/>
        <w:autoSpaceDE w:val="0"/>
        <w:widowControl/>
        <w:spacing w:line="266" w:lineRule="exact" w:before="214" w:after="0"/>
        <w:ind w:left="0" w:right="403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by general acceptance; or</w:t>
      </w:r>
    </w:p>
    <w:p>
      <w:pPr>
        <w:autoSpaceDN w:val="0"/>
        <w:autoSpaceDE w:val="0"/>
        <w:widowControl/>
        <w:spacing w:line="266" w:lineRule="exact" w:before="214" w:after="0"/>
        <w:ind w:left="0" w:right="300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(c) through one or more of the following: -</w:t>
      </w:r>
    </w:p>
    <w:p>
      <w:pPr>
        <w:autoSpaceDN w:val="0"/>
        <w:autoSpaceDE w:val="0"/>
        <w:widowControl/>
        <w:spacing w:line="266" w:lineRule="exact" w:before="214" w:after="0"/>
        <w:ind w:left="0" w:right="499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(i) spouse;</w:t>
      </w:r>
    </w:p>
    <w:p>
      <w:pPr>
        <w:autoSpaceDN w:val="0"/>
        <w:tabs>
          <w:tab w:pos="3058" w:val="left"/>
        </w:tabs>
        <w:autoSpaceDE w:val="0"/>
        <w:widowControl/>
        <w:spacing w:line="280" w:lineRule="exact" w:before="186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(ii) child or spouse of a child;</w:t>
      </w:r>
    </w:p>
    <w:p>
      <w:pPr>
        <w:autoSpaceDN w:val="0"/>
        <w:autoSpaceDE w:val="0"/>
        <w:widowControl/>
        <w:spacing w:line="266" w:lineRule="exact" w:before="214" w:after="0"/>
        <w:ind w:left="0" w:right="261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(iii) grandchild or spouse of a grandchild;</w:t>
      </w:r>
    </w:p>
    <w:p>
      <w:pPr>
        <w:autoSpaceDN w:val="0"/>
        <w:autoSpaceDE w:val="0"/>
        <w:widowControl/>
        <w:spacing w:line="266" w:lineRule="exact" w:before="214" w:after="0"/>
        <w:ind w:left="0" w:right="450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(iv) any parent; or</w:t>
      </w:r>
    </w:p>
    <w:p>
      <w:pPr>
        <w:autoSpaceDN w:val="0"/>
        <w:autoSpaceDE w:val="0"/>
        <w:widowControl/>
        <w:spacing w:line="266" w:lineRule="exact" w:before="214" w:after="154"/>
        <w:ind w:left="0" w:right="280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(v) brother or sister and their spouses;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"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ociety" means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 society registered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Societies Ordinance (Chapter 123) or a society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incorporated under an Act of Parliament;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0" w:lineRule="exact" w:before="180" w:after="154"/>
        <w:ind w:left="2186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"specified" means specified by the Authority by rules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made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2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26" w:right="1254" w:hanging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"subsidiary company" shall have the same meaning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assigned to the term in the Companies Act, No. 07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2007;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2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"substantial financial interest"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02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6" w:after="0"/>
              <w:ind w:left="0" w:right="4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6" w:right="1254" w:hanging="32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(a) in relation to a company, the holding of 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beneficial interest by another company or 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individual or his close relations whether singly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or taken together in the shares thereof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32" w:after="0"/>
              <w:ind w:left="60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paid up value of which exceeds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of the paid up capital of the company or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existence of a guarantee or indemnity for a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sum not less 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of the paid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up capital given by an individual or his close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relations or by another company on behalf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3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such company;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9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 in relation to a partnership, the beneficial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interest held therein by an individual or 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close relations whether singly or taken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together which represents more 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of the total capital subscribed by 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partners of the partnership or the existence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 guarantee or indemnity for a sum not less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of that capital given by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 individual or the spouse, parent or child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individual on behalf of such partnership;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1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60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0" w:lineRule="exact" w:before="164" w:after="0"/>
        <w:ind w:left="0" w:right="168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[section  32 ]</w:t>
      </w:r>
    </w:p>
    <w:p>
      <w:pPr>
        <w:autoSpaceDN w:val="0"/>
        <w:autoSpaceDE w:val="0"/>
        <w:widowControl/>
        <w:spacing w:line="250" w:lineRule="exact" w:before="224" w:after="0"/>
        <w:ind w:left="0" w:right="407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SCHEDULE</w:t>
      </w:r>
    </w:p>
    <w:p>
      <w:pPr>
        <w:autoSpaceDN w:val="0"/>
        <w:autoSpaceDE w:val="0"/>
        <w:widowControl/>
        <w:spacing w:line="216" w:lineRule="exact" w:before="240" w:after="0"/>
        <w:ind w:left="1346" w:right="144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 licensed microfinance institution may engage in the following business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activities: -</w:t>
      </w:r>
    </w:p>
    <w:p>
      <w:pPr>
        <w:autoSpaceDN w:val="0"/>
        <w:autoSpaceDE w:val="0"/>
        <w:widowControl/>
        <w:spacing w:line="216" w:lineRule="exact" w:before="228" w:after="0"/>
        <w:ind w:left="2066" w:right="1440" w:hanging="31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(a) provide financial accommodation, with or without collateral security, in cash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or in kind, subject to such terms and conditions that the Board may impose,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for all types of economic activities including housing;</w:t>
      </w:r>
    </w:p>
    <w:p>
      <w:pPr>
        <w:autoSpaceDN w:val="0"/>
        <w:autoSpaceDE w:val="0"/>
        <w:widowControl/>
        <w:spacing w:line="216" w:lineRule="exact" w:before="240" w:after="0"/>
        <w:ind w:left="2066" w:right="1438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(b) providing limited savings facilities to borrowers, open, maintain and manage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savings accounts, subject to limitations set out in rules made by the Authority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and excluding however, the carrying on of banking business as defined in the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Banking Act, No. 30 of 1988;</w:t>
      </w:r>
    </w:p>
    <w:p>
      <w:pPr>
        <w:autoSpaceDN w:val="0"/>
        <w:autoSpaceDE w:val="0"/>
        <w:widowControl/>
        <w:spacing w:line="216" w:lineRule="exact" w:before="240" w:after="0"/>
        <w:ind w:left="2066" w:right="1440" w:hanging="314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(c) accept, pledge, mortgage, hypothecat or assign to it of any kind of movable or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immovable property for the purpose of securing loans and advances made by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it;</w:t>
      </w:r>
    </w:p>
    <w:p>
      <w:pPr>
        <w:autoSpaceDN w:val="0"/>
        <w:autoSpaceDE w:val="0"/>
        <w:widowControl/>
        <w:spacing w:line="216" w:lineRule="exact" w:before="240" w:after="0"/>
        <w:ind w:left="2066" w:right="144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(d) provide credit to buy, sell and supply industrial and agricultural inputs,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livestock, machinery and industrial raw materials and to act as an agent for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any organization for the sale of such industrial and agricultural inputs,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livestock, machinery and industrial raw materials;</w:t>
      </w:r>
    </w:p>
    <w:p>
      <w:pPr>
        <w:autoSpaceDN w:val="0"/>
        <w:autoSpaceDE w:val="0"/>
        <w:widowControl/>
        <w:spacing w:line="240" w:lineRule="exact" w:before="216" w:after="0"/>
        <w:ind w:left="17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(e) invest its monies prudently;</w:t>
      </w:r>
    </w:p>
    <w:p>
      <w:pPr>
        <w:autoSpaceDN w:val="0"/>
        <w:autoSpaceDE w:val="0"/>
        <w:widowControl/>
        <w:spacing w:line="240" w:lineRule="exact" w:before="216" w:after="0"/>
        <w:ind w:left="17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(f) provide storage and safe custody facilities;</w:t>
      </w:r>
    </w:p>
    <w:p>
      <w:pPr>
        <w:autoSpaceDN w:val="0"/>
        <w:tabs>
          <w:tab w:pos="2066" w:val="left"/>
        </w:tabs>
        <w:autoSpaceDE w:val="0"/>
        <w:widowControl/>
        <w:spacing w:line="216" w:lineRule="exact" w:before="240" w:after="0"/>
        <w:ind w:left="1752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(g) provide professional advice to its customers regarding investments in small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business, self-employment projects and cottage industries;</w:t>
      </w:r>
    </w:p>
    <w:p>
      <w:pPr>
        <w:autoSpaceDN w:val="0"/>
        <w:tabs>
          <w:tab w:pos="2066" w:val="left"/>
        </w:tabs>
        <w:autoSpaceDE w:val="0"/>
        <w:widowControl/>
        <w:spacing w:line="216" w:lineRule="exact" w:before="240" w:after="0"/>
        <w:ind w:left="1738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(h) provide services and facilities to customers to hedge various risks relating to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microfinance;</w:t>
      </w:r>
    </w:p>
    <w:p>
      <w:pPr>
        <w:autoSpaceDN w:val="0"/>
        <w:tabs>
          <w:tab w:pos="2066" w:val="left"/>
        </w:tabs>
        <w:autoSpaceDE w:val="0"/>
        <w:widowControl/>
        <w:spacing w:line="216" w:lineRule="exact" w:before="240" w:after="0"/>
        <w:ind w:left="1780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(i) render managerial, marketing, technical and administrative advice to customers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and assisting them in obtaining services in such fields;</w:t>
      </w:r>
    </w:p>
    <w:p>
      <w:pPr>
        <w:autoSpaceDN w:val="0"/>
        <w:autoSpaceDE w:val="0"/>
        <w:widowControl/>
        <w:spacing w:line="240" w:lineRule="exact" w:before="216" w:after="0"/>
        <w:ind w:left="17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(j) provide technical assistance and training to customers;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216" w:lineRule="exact" w:before="170" w:after="0"/>
        <w:ind w:left="2160" w:right="1344" w:hanging="332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(k) conduct finance leasing business, pawn brokering and insurance business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after obtaining the necessary licence or approval from the relevant authority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and on subject to such rules and regulations of such authority;</w:t>
      </w:r>
    </w:p>
    <w:p>
      <w:pPr>
        <w:autoSpaceDN w:val="0"/>
        <w:tabs>
          <w:tab w:pos="2160" w:val="left"/>
        </w:tabs>
        <w:autoSpaceDE w:val="0"/>
        <w:widowControl/>
        <w:spacing w:line="216" w:lineRule="exact" w:before="240" w:after="0"/>
        <w:ind w:left="18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(l) engage in hire purchase transactions under the Customer Credit Act, No. 29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of 1982 and on any condition imposed by the Authority;</w:t>
      </w:r>
    </w:p>
    <w:p>
      <w:pPr>
        <w:autoSpaceDN w:val="0"/>
        <w:tabs>
          <w:tab w:pos="2160" w:val="left"/>
        </w:tabs>
        <w:autoSpaceDE w:val="0"/>
        <w:widowControl/>
        <w:spacing w:line="216" w:lineRule="exact" w:before="240" w:after="0"/>
        <w:ind w:left="1786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(m) any other business activity which the Authority may authorize licensed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microfinance institutions to engage in.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63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22" w:lineRule="exact" w:before="9548" w:after="0"/>
        <w:ind w:left="0" w:right="264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Department of Government Printing, Sri Lanka.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