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68" w:lineRule="exact" w:before="15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60" w:after="0"/>
        <w:ind w:left="0" w:right="310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October 27, 2023</w:t>
      </w:r>
    </w:p>
    <w:p>
      <w:pPr>
        <w:autoSpaceDN w:val="0"/>
        <w:autoSpaceDE w:val="0"/>
        <w:widowControl/>
        <w:spacing w:line="332" w:lineRule="exact" w:before="262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254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30.10.2023)</w:t>
      </w:r>
    </w:p>
    <w:p>
      <w:pPr>
        <w:autoSpaceDN w:val="0"/>
        <w:autoSpaceDE w:val="0"/>
        <w:widowControl/>
        <w:spacing w:line="240" w:lineRule="auto" w:before="17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396" w:after="0"/>
        <w:ind w:left="2448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MY DREAM JAFFNA FOUNDATION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44" w:lineRule="exact" w:before="124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332" w:lineRule="exact" w:before="128" w:after="0"/>
        <w:ind w:left="0" w:right="436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6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8" w:lineRule="exact" w:before="238" w:after="0"/>
        <w:ind w:left="0" w:right="240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incorporate the My Dream Jaffna Foundation</w:t>
      </w:r>
    </w:p>
    <w:p>
      <w:pPr>
        <w:autoSpaceDN w:val="0"/>
        <w:autoSpaceDE w:val="0"/>
        <w:widowControl/>
        <w:spacing w:line="244" w:lineRule="exact" w:before="220" w:after="0"/>
        <w:ind w:left="185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Sarathi Dushmantha, M.P.</w:t>
      </w:r>
    </w:p>
    <w:p>
      <w:pPr>
        <w:autoSpaceDN w:val="0"/>
        <w:autoSpaceDE w:val="0"/>
        <w:widowControl/>
        <w:spacing w:line="244" w:lineRule="exact" w:before="0" w:after="0"/>
        <w:ind w:left="0" w:right="365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for Kegalle District</w:t>
      </w:r>
    </w:p>
    <w:p>
      <w:pPr>
        <w:autoSpaceDN w:val="0"/>
        <w:autoSpaceDE w:val="0"/>
        <w:widowControl/>
        <w:spacing w:line="212" w:lineRule="exact" w:before="278" w:after="8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3007"/>
        <w:gridCol w:w="3007"/>
        <w:gridCol w:w="3007"/>
      </w:tblGrid>
      <w:tr>
        <w:trPr>
          <w:trHeight w:hRule="exact" w:val="564"/>
        </w:trPr>
        <w:tc>
          <w:tcPr>
            <w:tcW w:type="dxa" w:w="2948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74" w:lineRule="exact" w:before="0" w:after="0"/>
              <w:ind w:left="6" w:right="0" w:firstLine="0"/>
              <w:jc w:val="left"/>
            </w:pPr>
            <w:r>
              <w:tab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GOVERN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18.00</w:t>
            </w:r>
          </w:p>
        </w:tc>
        <w:tc>
          <w:tcPr>
            <w:tcW w:type="dxa" w:w="3302"/>
            <w:gridSpan w:val="2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6" w:val="left"/>
              </w:tabs>
              <w:autoSpaceDE w:val="0"/>
              <w:widowControl/>
              <w:spacing w:line="292" w:lineRule="exact" w:before="0" w:after="0"/>
              <w:ind w:left="0" w:right="0" w:firstLine="0"/>
              <w:jc w:val="left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MENT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 xml:space="preserve">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76"/>
        </w:trPr>
        <w:tc>
          <w:tcPr>
            <w:tcW w:type="dxa" w:w="53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5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352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My Dream Jaffna Foundation 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70" w:after="412"/>
        <w:ind w:left="19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REAM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221F1F"/>
          <w:sz w:val="14"/>
        </w:rPr>
        <w:t>AFFNA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an  Organization called and known as the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Dream Jaffna Foundation” has heretofore been formed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for the purpose of effectually carrying out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and transacting all matters connected with the said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according to the rules agreed to by its 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 the said Foundation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successfully carried out and transacted the several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matters for which it was established and has applied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 incorporated and it will be expedient to grant the said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60" w:after="166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36" w:lineRule="exact" w:before="102" w:after="0"/>
              <w:ind w:left="9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My Dream Jaffna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Foundation (Incorporation) Act, No.    of 2023.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80" w:lineRule="exact" w:before="118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M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Y</w:t>
            </w:r>
          </w:p>
        </w:tc>
      </w:tr>
      <w:tr>
        <w:trPr>
          <w:trHeight w:hRule="exact" w:val="2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My Dream Jaffna Foundation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Dream Jaffna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hereby constituted, shall be a body corporate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perpetual succession, under the name and style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My Dream Jaffna Foundation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“body corporate”) and by that name may sue and be sued,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courts with full power and  authority to have and use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common seal and alter the same at its pleasure.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be deemed to be a Voluntary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Social Service Organization within the meaning, and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the Voluntary Social Services Organizations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(Registration and Supervision) Act, No. 31 of 1980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apply to and in relation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of the affairs of the Corporation.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My Dream Jaffna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7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operates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not-for-profit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7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4" w:val="left"/>
              </w:tabs>
              <w:autoSpaceDE w:val="0"/>
              <w:widowControl/>
              <w:spacing w:line="280" w:lineRule="exact" w:before="2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operates exclusively as 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not-for profit Organization and it is solely for the benifit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society and its members.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0" w:after="0"/>
              <w:ind w:left="0" w:right="12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body corporate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constituted are hereby declared to be–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all necessary facilities to the public,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given priority to the development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 helping hand to the renaissance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field of agriculture, fisheries and livestock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Development;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constructive measures to build up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physically and mentally healthiest society;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a helping hand for development of language,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arts, culture, heritage and litrature;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1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contribute in building up a technologically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centralized society;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implement socio-welfare programmes with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aim of creating a knowledgeable and strong future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young generation;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all other constructive measures in order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 the economy of the people;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implement all other necessary activities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achieve the above socio-welfare projects.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implementation of the objects specified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the Corporation shall ensure that such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3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My Dream Jaffna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6" w:lineRule="exact" w:before="448" w:after="16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8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so as not to create any conflict between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Central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Government, any Provincial Council or Local Government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Bodies.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78" w:lineRule="exact" w:before="6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the body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carried out by a Board of Management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2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Board”) consisting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 rules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8.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Board of Management of the Foundation 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holds office on the day immediately preceding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shall function as the Board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 until the first  Board is appointed or elected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provided for by rules made under section 8.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first Board of the body corporate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or elected within one year of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office bearer of the Board including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patrons and advisors, shall be appointed or elected for a period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three years and any such office bearer, patron or advisor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eligible for re-appointment or re-election after lapse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said period of three years.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the event of a vacancy occurring due to the death,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resignation, incapacity or removal from office of an office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bearer, the Board shall having regard to the rules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Corporation, elect or appoint a person to fill such vacancy.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2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My Dream Jaffna Foundation (Incorporation)</w:t>
      </w:r>
    </w:p>
    <w:p>
      <w:pPr>
        <w:autoSpaceDN w:val="0"/>
        <w:autoSpaceDE w:val="0"/>
        <w:widowControl/>
        <w:spacing w:line="268" w:lineRule="exact" w:before="43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68" w:lineRule="exact" w:before="0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hold office only for the unexpired portion of the term of</w:t>
      </w:r>
    </w:p>
    <w:p>
      <w:pPr>
        <w:autoSpaceDN w:val="0"/>
        <w:autoSpaceDE w:val="0"/>
        <w:widowControl/>
        <w:spacing w:line="266" w:lineRule="exact" w:before="0" w:after="19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1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are necessary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desirable for the promotion or any one of them, including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acquire rent, construct, renovate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obtain lands or buildings which may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purpose of the body corporate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deal with or dispose of the same as may be deemed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expedient with a view to promoting the objects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5"/>
        </w:trPr>
        <w:tc>
          <w:tcPr>
            <w:tcW w:type="dxa" w:w="1804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or without security: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10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the Committee shall obtain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written approval of the Department of External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of the Ministry of the Minister assigned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Finance, in respect of all foreign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grants, gifts or donations made to the body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make, draw, accept, discount, endorse, negotiate,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buy, sell and issue bills of exchange, cheques,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promissory notes and other negotiable instruments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open, operate and close accounts in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2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any funds not immediately required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body corporate in such manner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Committee may determine;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3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My Dream Jaffna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6" w:val="left"/>
          <w:tab w:pos="2526" w:val="left"/>
        </w:tabs>
        <w:autoSpaceDE w:val="0"/>
        <w:widowControl/>
        <w:spacing w:line="284" w:lineRule="exact" w:before="438" w:after="242"/>
        <w:ind w:left="21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80" w:lineRule="exact" w:before="0" w:after="24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other things as are necessary or expedient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proper and effective carrying out the objects</w:t>
            </w:r>
          </w:p>
        </w:tc>
      </w:tr>
    </w:tbl>
    <w:p>
      <w:pPr>
        <w:autoSpaceDN w:val="0"/>
        <w:autoSpaceDE w:val="0"/>
        <w:widowControl/>
        <w:spacing w:line="268" w:lineRule="exact" w:before="8" w:after="242"/>
        <w:ind w:left="0" w:right="4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 time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and by the votes of not less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two-thirds of the members present and voting, to make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rules, not inconsistent with the provisions of this Act or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8" w:after="24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classification of membership, admission,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withdrawal, expulsion or resignation of members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fees payable by members;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or Board</w:t>
            </w:r>
          </w:p>
        </w:tc>
      </w:tr>
    </w:tbl>
    <w:p>
      <w:pPr>
        <w:autoSpaceDN w:val="0"/>
        <w:autoSpaceDE w:val="0"/>
        <w:widowControl/>
        <w:spacing w:line="282" w:lineRule="exact" w:before="0" w:after="24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duties of the various officers, agents</w:t>
            </w:r>
          </w:p>
        </w:tc>
      </w:tr>
    </w:tbl>
    <w:p>
      <w:pPr>
        <w:autoSpaceDN w:val="0"/>
        <w:autoSpaceDE w:val="0"/>
        <w:widowControl/>
        <w:spacing w:line="268" w:lineRule="exact" w:before="8" w:after="0"/>
        <w:ind w:left="0" w:right="3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servants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2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8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2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My Dream Jaffna Foundation (Incorporation)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at the summoning</w:t>
            </w:r>
          </w:p>
        </w:tc>
      </w:tr>
      <w:tr>
        <w:trPr>
          <w:trHeight w:hRule="exact" w:val="114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holding of meetings of the Board,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ub-committee thereof, notices and agenda of 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meetings, the quorum and the conduct of business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Board and the body corporate;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management of the affairs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</w:p>
        </w:tc>
      </w:tr>
      <w:tr>
        <w:trPr>
          <w:trHeight w:hRule="exact" w:val="1598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accomplishment of its’ objects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dissolution of the Corporation.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rules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corporate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may be amended,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rescinded at a like meeting and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manner, as a rule made under subsection (1).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54" w:lineRule="exact" w:before="194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subject to rules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1944" w:val="left"/>
        </w:tabs>
        <w:autoSpaceDE w:val="0"/>
        <w:widowControl/>
        <w:spacing w:line="250" w:lineRule="exact" w:before="260" w:after="19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maintain a register of members in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8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be inscribed.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All moneys received by way of gifts, bequests,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donations, subscriptions, contributions, fees or grants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on account of the body corporate shall be deposited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 or more banks approved by the Board to the credit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23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My Dream Jaffna Foundation (Incorporation)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302" w:lineRule="exact" w:before="432" w:after="23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8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00" w:lineRule="exact" w:before="24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all </w:t>
      </w:r>
      <w:r>
        <w:rPr>
          <w:rFonts w:ascii="Times" w:hAnsi="Times" w:eastAsia="Times"/>
          <w:b w:val="0"/>
          <w:i w:val="0"/>
          <w:color w:val="221F1F"/>
          <w:sz w:val="20"/>
        </w:rPr>
        <w:t>other transactions of the body corporate.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300" w:lineRule="exact" w:before="30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a Auditor General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Article 154 of the Constitution.</w:t>
      </w:r>
    </w:p>
    <w:p>
      <w:pPr>
        <w:autoSpaceDN w:val="0"/>
        <w:tabs>
          <w:tab w:pos="2038" w:val="left"/>
        </w:tabs>
        <w:autoSpaceDE w:val="0"/>
        <w:widowControl/>
        <w:spacing w:line="302" w:lineRule="exact" w:before="304" w:after="27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“a 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who, being a member of the Institute</w:t>
            </w:r>
          </w:p>
        </w:tc>
      </w:tr>
    </w:tbl>
    <w:p>
      <w:pPr>
        <w:autoSpaceDN w:val="0"/>
        <w:autoSpaceDE w:val="0"/>
        <w:widowControl/>
        <w:spacing w:line="296" w:lineRule="exact" w:before="0" w:after="278"/>
        <w:ind w:left="2518" w:right="24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Accountants, each of the resident partners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300" w:lineRule="exact" w:before="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practise as an Accountant issued by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My Dream Jaffna Foundation (Incorporation)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16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19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  <w:tab w:pos="796" w:val="left"/>
              </w:tabs>
              <w:autoSpaceDE w:val="0"/>
              <w:widowControl/>
              <w:spacing w:line="236" w:lineRule="exact" w:before="270" w:after="0"/>
              <w:ind w:left="10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Board shall prepare a report of the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body corporate for each financial year and submit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report together with the audited statement of accounts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Secretary of the Ministry of the Minister assigned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of Social Services and to the Registrar of Voluntary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Social Services Organizations appointed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Voluntary Social Services Organization (Registration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Supervision) Act, No. 31 of 1980 before the expiration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six months of the year succeeding the year to which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relates.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154" w:after="160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accounts relating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preceding the date of commencement of this Act,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5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  <w:p>
            <w:pPr>
              <w:autoSpaceDN w:val="0"/>
              <w:autoSpaceDE w:val="0"/>
              <w:widowControl/>
              <w:spacing w:line="170" w:lineRule="exact" w:before="9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  <w:p>
            <w:pPr>
              <w:autoSpaceDN w:val="0"/>
              <w:autoSpaceDE w:val="0"/>
              <w:widowControl/>
              <w:spacing w:line="170" w:lineRule="exact" w:before="138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money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104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30" w:after="0"/>
              <w:ind w:left="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paid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body corporate hereby constituted,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debts due to, and subscriptions and contributions payable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Foundation on that day shall be paid to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for the purposes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90"/>
        </w:trPr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82" w:val="left"/>
                <w:tab w:pos="1750" w:val="left"/>
              </w:tabs>
              <w:autoSpaceDE w:val="0"/>
              <w:widowControl/>
              <w:spacing w:line="236" w:lineRule="exact" w:before="144" w:after="0"/>
              <w:ind w:left="104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this Act,the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 shall be able and capable in law, to take and hold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property, movable or immovable, which may become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vested in it by virtue of any purchase, grants, gifts,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testamentary dispositions or otherwise and all such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 by the body corporate for the purposes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30"/>
        </w:trPr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042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and subject to the rules of the body corporate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7, with power to sell, mortgage, lease, exchange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 dispose of the same.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moneys and property of the body corporate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6"/>
        </w:trPr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576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 of the objects of the body corporate and no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portion thereof shall be paid or transferred directly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indirectly by way of dividend, bonus or profit to the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8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My Dream Jaffna Foundation (Incorporation)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486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body corporate shall not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two members of the Board who shall sign their names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instrument in token of their presence and such signing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independent of the signing of any person as a witness.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198" w:after="194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such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any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distributed among the members of the body corporate,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1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shall be given or transferred to any other institution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objects similar to those of the body corporate,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is by the rules thereof,  prohibited from distributing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income or property among its members.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purposes of subsection (1), the appropriate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shall be determined by the members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immediately before the dissolution at a 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by the majority of votes of the members present.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8" w:val="left"/>
              </w:tabs>
              <w:autoSpaceDE w:val="0"/>
              <w:widowControl/>
              <w:spacing w:line="280" w:lineRule="exact" w:before="8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inconsistancy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4510"/>
        <w:gridCol w:w="4510"/>
      </w:tblGrid>
      <w:tr>
        <w:trPr>
          <w:trHeight w:hRule="exact" w:val="9404"/>
        </w:trPr>
        <w:tc>
          <w:tcPr>
            <w:tcW w:type="dxa" w:w="7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8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My Dream Jaffna Foundation (Incorporation)</w:t>
            </w:r>
          </w:p>
        </w:tc>
      </w:tr>
    </w:tbl>
    <w:p>
      <w:pPr>
        <w:autoSpaceDN w:val="0"/>
        <w:autoSpaceDE w:val="0"/>
        <w:widowControl/>
        <w:spacing w:line="150" w:lineRule="exact" w:before="1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