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2"/>
        <w:ind w:left="0" w:right="0"/>
      </w:pPr>
    </w:p>
    <w:p>
      <w:pPr>
        <w:autoSpaceDN w:val="0"/>
        <w:autoSpaceDE w:val="0"/>
        <w:widowControl/>
        <w:spacing w:line="252" w:lineRule="auto" w:before="442" w:after="0"/>
        <w:ind w:left="1728" w:right="172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THE  GAZETTE  OF  THE DEMOCRATIC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230" w:lineRule="auto" w:before="312" w:after="0"/>
        <w:ind w:left="0" w:right="30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II of  November 10, 2023</w:t>
      </w:r>
    </w:p>
    <w:p>
      <w:pPr>
        <w:autoSpaceDN w:val="0"/>
        <w:autoSpaceDE w:val="0"/>
        <w:widowControl/>
        <w:spacing w:line="233" w:lineRule="auto" w:before="262" w:after="0"/>
        <w:ind w:left="0" w:right="36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57" w:lineRule="auto" w:before="246" w:after="0"/>
        <w:ind w:left="0" w:right="343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376" w:after="0"/>
        <w:ind w:left="0" w:right="37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19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9" w:lineRule="auto" w:before="368" w:after="0"/>
        <w:ind w:left="2448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FINANCE  LEASING  (AMENDMENT 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BILL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to  amend  the Finance Leasing Act, No. 56 of  2000</w:t>
      </w:r>
    </w:p>
    <w:p>
      <w:pPr>
        <w:autoSpaceDN w:val="0"/>
        <w:tabs>
          <w:tab w:pos="1964" w:val="left"/>
          <w:tab w:pos="2422" w:val="left"/>
          <w:tab w:pos="2622" w:val="left"/>
          <w:tab w:pos="3078" w:val="left"/>
          <w:tab w:pos="5738" w:val="left"/>
        </w:tabs>
        <w:autoSpaceDE w:val="0"/>
        <w:widowControl/>
        <w:spacing w:line="302" w:lineRule="exact" w:before="218" w:after="0"/>
        <w:ind w:left="1470" w:right="158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 Finance, Economic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Stabilization and National Policies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rFonts w:ascii="Times" w:hAnsi="Times" w:eastAsia="Times"/>
          <w:b w:val="0"/>
          <w:i w:val="0"/>
          <w:color w:val="000000"/>
          <w:sz w:val="11"/>
        </w:rPr>
        <w:t xml:space="preserve">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1"/>
        </w:rPr>
        <w:t>BE</w:t>
      </w:r>
      <w:r>
        <w:rPr>
          <w:rFonts w:ascii="Times" w:hAnsi="Times" w:eastAsia="Times"/>
          <w:b w:val="0"/>
          <w:i w:val="0"/>
          <w:color w:val="000000"/>
          <w:sz w:val="11"/>
        </w:rPr>
        <w:t>PURCHASED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PUBLICATIONS</w:t>
      </w:r>
      <w:r>
        <w:rPr>
          <w:rFonts w:ascii="Times" w:hAnsi="Times" w:eastAsia="Times"/>
          <w:b w:val="0"/>
          <w:i w:val="0"/>
          <w:color w:val="000000"/>
          <w:sz w:val="11"/>
        </w:rPr>
        <w:t>BUREAU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COLOMBO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Price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: Rs. 9.00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 Postage : </w:t>
      </w:r>
      <w:r>
        <w:rPr>
          <w:rFonts w:ascii="Times" w:hAnsi="Times" w:eastAsia="Times"/>
          <w:b/>
          <w:i w:val="0"/>
          <w:color w:val="000000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60" w:after="0"/>
        <w:ind w:left="0" w:right="14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1800" cy="4013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exact" w:before="0" w:after="0"/>
        <w:ind w:left="14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This  </w:t>
      </w:r>
      <w:r>
        <w:rPr>
          <w:rFonts w:ascii="Times" w:hAnsi="Times" w:eastAsia="Times"/>
          <w:b w:val="0"/>
          <w:i/>
          <w:color w:val="000000"/>
          <w:sz w:val="16"/>
        </w:rPr>
        <w:t>Gazette</w:t>
      </w:r>
      <w:r>
        <w:rPr>
          <w:rFonts w:ascii="Times" w:hAnsi="Times" w:eastAsia="Times"/>
          <w:b w:val="0"/>
          <w:i/>
          <w:color w:val="000000"/>
          <w:sz w:val="16"/>
        </w:rPr>
        <w:t>Supplement</w:t>
      </w:r>
      <w:r>
        <w:rPr>
          <w:rFonts w:ascii="Times" w:hAnsi="Times" w:eastAsia="Times"/>
          <w:b w:val="0"/>
          <w:i/>
          <w:color w:val="000000"/>
          <w:sz w:val="16"/>
        </w:rPr>
        <w:t>can</w:t>
      </w:r>
      <w:r>
        <w:rPr>
          <w:rFonts w:ascii="Times" w:hAnsi="Times" w:eastAsia="Times"/>
          <w:b w:val="0"/>
          <w:i/>
          <w:color w:val="000000"/>
          <w:sz w:val="16"/>
        </w:rPr>
        <w:t>be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8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300" w:lineRule="auto" w:before="578" w:after="0"/>
        <w:ind w:left="1718" w:right="2468" w:firstLine="162"/>
        <w:jc w:val="both"/>
      </w:pPr>
      <w:r>
        <w:rPr>
          <w:rFonts w:ascii="TimesNewRomanPS" w:hAnsi="TimesNewRomanPS" w:eastAsia="TimesNewRomanPS"/>
          <w:b/>
          <w:i/>
          <w:color w:val="000000"/>
          <w:sz w:val="16"/>
        </w:rPr>
        <w:t>Clause 2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24 of the Finance Leasing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Act, No. 56 of 2000 (hereinafter referred to as the “principal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enactment”), and the legal effect of the section as amended is to make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provisions enabling a lessor to transfer or assign his rights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lease to any registered establishment without the consent of the lessee.</w:t>
      </w:r>
    </w:p>
    <w:p>
      <w:pPr>
        <w:autoSpaceDN w:val="0"/>
        <w:autoSpaceDE w:val="0"/>
        <w:widowControl/>
        <w:spacing w:line="302" w:lineRule="auto" w:before="612" w:after="0"/>
        <w:ind w:left="1718" w:right="2468" w:firstLine="162"/>
        <w:jc w:val="both"/>
      </w:pPr>
      <w:r>
        <w:rPr>
          <w:rFonts w:ascii="TimesNewRomanPS" w:hAnsi="TimesNewRomanPS" w:eastAsia="TimesNewRomanPS"/>
          <w:b/>
          <w:i/>
          <w:color w:val="000000"/>
          <w:sz w:val="16"/>
        </w:rPr>
        <w:t>Clause 3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26 of the principal enactment,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the legal effect of the section as amended is to make provisions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require the lessor to have validly perfected his rights under the Secured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Transactions Act, No.   of 2023 if his rights under the 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enactment are to be enforced against a trustee in bankruptcy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lessee or a creditor of the lessee.</w:t>
      </w:r>
    </w:p>
    <w:p>
      <w:pPr>
        <w:autoSpaceDN w:val="0"/>
        <w:autoSpaceDE w:val="0"/>
        <w:widowControl/>
        <w:spacing w:line="300" w:lineRule="auto" w:before="606" w:after="0"/>
        <w:ind w:left="1718" w:right="2468" w:firstLine="162"/>
        <w:jc w:val="both"/>
      </w:pPr>
      <w:r>
        <w:rPr>
          <w:rFonts w:ascii="TimesNewRomanPS" w:hAnsi="TimesNewRomanPS" w:eastAsia="TimesNewRomanPS"/>
          <w:b/>
          <w:i/>
          <w:color w:val="000000"/>
          <w:sz w:val="16"/>
        </w:rPr>
        <w:t>Clause 4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27 of the principal enactment,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and the legal effect of the section as amended is to make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recognizing the right of a lessor who has registered his rights under any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finance lease under the Secured Transactions Act, No.    of 2023,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recover possession of an equipment.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54" w:lineRule="auto" w:before="146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Finance Leasing (Amendment)</w:t>
      </w:r>
    </w:p>
    <w:p>
      <w:pPr>
        <w:autoSpaceDN w:val="0"/>
        <w:autoSpaceDE w:val="0"/>
        <w:widowControl/>
        <w:spacing w:line="233" w:lineRule="auto" w:before="310" w:after="0"/>
        <w:ind w:left="1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L.D. - O. 66/2017</w:t>
      </w:r>
    </w:p>
    <w:p>
      <w:pPr>
        <w:autoSpaceDN w:val="0"/>
        <w:autoSpaceDE w:val="0"/>
        <w:widowControl/>
        <w:spacing w:line="245" w:lineRule="auto" w:before="258" w:after="0"/>
        <w:ind w:left="2016" w:right="259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  ACT   TO   AMEND  THE  FINANCE  LEASING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ACT, NO. 56 OF 2000</w:t>
      </w:r>
    </w:p>
    <w:p>
      <w:pPr>
        <w:autoSpaceDN w:val="0"/>
        <w:autoSpaceDE w:val="0"/>
        <w:widowControl/>
        <w:spacing w:line="245" w:lineRule="auto" w:before="258" w:after="198"/>
        <w:ind w:left="179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4" w:val="left"/>
              </w:tabs>
              <w:autoSpaceDE w:val="0"/>
              <w:widowControl/>
              <w:spacing w:line="245" w:lineRule="auto" w:before="60" w:after="0"/>
              <w:ind w:left="912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This Act may be cited as the Finance Leasing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(Amendment) Act, No.        of   2023.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date of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16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operation</w:t>
      </w:r>
    </w:p>
    <w:p>
      <w:pPr>
        <w:autoSpaceDN w:val="0"/>
        <w:tabs>
          <w:tab w:pos="1792" w:val="left"/>
          <w:tab w:pos="2172" w:val="left"/>
        </w:tabs>
        <w:autoSpaceDE w:val="0"/>
        <w:widowControl/>
        <w:spacing w:line="274" w:lineRule="auto" w:before="98" w:after="0"/>
        <w:ind w:left="15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The provisions of this Act, other than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2" w:lineRule="auto" w:before="282" w:after="24"/>
        <w:ind w:left="1792" w:right="2304" w:firstLine="38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(3) The provisions of this section shall come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operation on the date on which the Bill becomes an 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4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Section 24 of the Finance Leasing Act, No. 56 of 2000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24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(in this Act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56 of 2000</w:t>
            </w:r>
          </w:p>
        </w:tc>
      </w:tr>
    </w:tbl>
    <w:p>
      <w:pPr>
        <w:autoSpaceDN w:val="0"/>
        <w:tabs>
          <w:tab w:pos="1792" w:val="left"/>
        </w:tabs>
        <w:autoSpaceDE w:val="0"/>
        <w:widowControl/>
        <w:spacing w:line="274" w:lineRule="auto" w:before="28" w:after="270"/>
        <w:ind w:left="151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words “A lessor may, with the written consent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lessee obtained at the time of entering into the finance lease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thereafter, transfer or assign”, of  the words “A lessor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transfer or assign”.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words “an attachment in execution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equipment.”, of the words and figures “an attachment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9" w:lineRule="auto" w:before="26" w:after="0"/>
        <w:ind w:left="1792" w:right="24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execution of such equipment, provided the lessor has validly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perfected those rights under the Secured Transactions Act,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     of  2023.”.</w:t>
      </w:r>
    </w:p>
    <w:p>
      <w:pPr>
        <w:autoSpaceDN w:val="0"/>
        <w:autoSpaceDE w:val="0"/>
        <w:widowControl/>
        <w:spacing w:line="230" w:lineRule="auto" w:before="712" w:after="0"/>
        <w:ind w:left="14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PL014100 - 475(10/2023)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3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7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Finance Leasing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7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4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amended by the substitution for the words “an equipment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this Act or under a provision of a finance lease, may-”,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words and figures “an equipment under the Secured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Transactions Act, No.   of 2023 or where there are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6" w:after="0"/>
        <w:ind w:left="17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competing claimants, under a provision of a finance lease,</w:t>
      </w:r>
    </w:p>
    <w:p>
      <w:pPr>
        <w:autoSpaceDN w:val="0"/>
        <w:autoSpaceDE w:val="0"/>
        <w:widowControl/>
        <w:spacing w:line="233" w:lineRule="auto" w:before="58" w:after="270"/>
        <w:ind w:left="17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1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57" w:lineRule="auto" w:before="60" w:after="0"/>
              <w:ind w:left="878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4" w:after="0"/>
              <w:ind w:left="6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4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148" w:lineRule="exact" w:before="10368" w:after="0"/>
        <w:ind w:left="0" w:right="3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