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62.0" w:type="dxa"/>
      </w:tblPr>
      <w:tblGrid>
        <w:gridCol w:w="9020"/>
      </w:tblGrid>
      <w:tr>
        <w:trPr>
          <w:trHeight w:hRule="exact" w:val="292"/>
        </w:trPr>
        <w:tc>
          <w:tcPr>
            <w:tcW w:type="dxa" w:w="382"/>
            <w:tcBorders>
              <w:start w:sz="15.359999656677246" w:val="single" w:color="#FFFFFF"/>
              <w:top w:sz="15.359999656677246" w:val="single" w:color="#FFFFFF"/>
              <w:end w:sz="15.359999656677246" w:val="single" w:color="#FFFFFF"/>
              <w:bottom w:sz="15.359999656677246" w:val="single" w:color="#FFFFFF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74" w:lineRule="exact" w:before="206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THE  GAZETTE  OF  THE DEMOCRATIC </w:t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SOCIALIST  REPUBLIC 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SRI  LANKA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II of  November 10, 2023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SUPPLEMENT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404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5819" cy="1064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06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exact" w:before="202" w:after="22"/>
        <w:ind w:left="2016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INLAND  TRUST  RECEIPTS  (AMENDMENT )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BILL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 amend  the Inland  Trust  Receipts  Act,  No. 14  of  1990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Ordered to be published by the Minister of Finance, Economic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Stabilization and National Policies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1"/>
        </w:rPr>
        <w:t>PRINTED</w:t>
      </w:r>
      <w:r>
        <w:rPr>
          <w:rFonts w:ascii="Times" w:hAnsi="Times" w:eastAsia="Times"/>
          <w:b w:val="0"/>
          <w:i w:val="0"/>
          <w:color w:val="000000"/>
          <w:sz w:val="11"/>
        </w:rPr>
        <w:t>AT</w:t>
      </w:r>
      <w:r>
        <w:rPr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  <w:r>
        <w:rPr>
          <w:rFonts w:ascii="Calibri" w:hAnsi="Calibri" w:eastAsia="Calibri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11"/>
        </w:rPr>
        <w:t>SRI</w:t>
      </w:r>
      <w:r>
        <w:rPr>
          <w:rFonts w:ascii="Times" w:hAnsi="Times" w:eastAsia="Times"/>
          <w:b w:val="0"/>
          <w:i w:val="0"/>
          <w:color w:val="000000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3007"/>
        <w:gridCol w:w="3007"/>
        <w:gridCol w:w="3007"/>
      </w:tblGrid>
      <w:tr>
        <w:trPr>
          <w:trHeight w:hRule="exact" w:val="590"/>
        </w:trPr>
        <w:tc>
          <w:tcPr>
            <w:tcW w:type="dxa" w:w="2828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8" w:val="left"/>
              </w:tabs>
              <w:autoSpaceDE w:val="0"/>
              <w:widowControl/>
              <w:spacing w:line="355" w:lineRule="auto" w:before="2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PURCHASED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GOVER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Price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: Rs. 9.00</w:t>
            </w:r>
          </w:p>
        </w:tc>
        <w:tc>
          <w:tcPr>
            <w:tcW w:type="dxa" w:w="3436"/>
            <w:gridSpan w:val="2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310" w:lineRule="auto" w:before="2" w:after="0"/>
              <w:ind w:left="2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PUBLICATIONS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BUREAU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5</w:t>
            </w:r>
            <w:r>
              <w:br/>
            </w: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Postage :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Rs. 50.00</w:t>
            </w:r>
          </w:p>
        </w:tc>
      </w:tr>
      <w:tr>
        <w:trPr>
          <w:trHeight w:hRule="exact" w:val="760"/>
        </w:trPr>
        <w:tc>
          <w:tcPr>
            <w:tcW w:type="dxa" w:w="55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This 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Gazette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Supplement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can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be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 downloaded  from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www.documents.gov.lk</w:t>
            </w:r>
          </w:p>
        </w:tc>
        <w:tc>
          <w:tcPr>
            <w:tcW w:type="dxa" w:w="7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31800" cy="4013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01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20" w:lineRule="exact" w:before="1678" w:after="0"/>
        <w:ind w:left="0" w:right="3914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38" w:lineRule="exact" w:before="384" w:after="0"/>
        <w:ind w:left="1718" w:right="2520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: This clause amends section 3 of the Inland Trust Receipts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Act, No. 14 of 1990, and the legal effect of the section as amended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to provide for the legal consequences of inland trust receipts registered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under the Secured Transactions Act, No.     of 2023, but not under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Registration of Documents Ordinance (Chapter 117).</w:t>
      </w:r>
    </w:p>
    <w:p>
      <w:pPr>
        <w:autoSpaceDN w:val="0"/>
        <w:autoSpaceDE w:val="0"/>
        <w:widowControl/>
        <w:spacing w:line="238" w:lineRule="exact" w:before="488" w:after="0"/>
        <w:ind w:left="1718" w:right="2520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: This clause makes provisions in regard to the period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enforceability of inland trust receipts already registered under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Registration of Documents Ordinance and the requirement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registering those inland trust receipts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Act, No.   of 2023 upon coming into operation of the said Act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order for them to be further enforceable and for their priority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30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Inland Trust Receipts (Amendment)</w:t>
      </w:r>
    </w:p>
    <w:p>
      <w:pPr>
        <w:autoSpaceDN w:val="0"/>
        <w:autoSpaceDE w:val="0"/>
        <w:widowControl/>
        <w:spacing w:line="278" w:lineRule="exact" w:before="254" w:after="0"/>
        <w:ind w:left="179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L.D.-O. 67/2017</w:t>
      </w:r>
    </w:p>
    <w:p>
      <w:pPr>
        <w:autoSpaceDN w:val="0"/>
        <w:autoSpaceDE w:val="0"/>
        <w:widowControl/>
        <w:spacing w:line="240" w:lineRule="exact" w:before="172" w:after="0"/>
        <w:ind w:left="2016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  ACT   TO   AMEND   THE  INLAND   TRUST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RECEIPTS   ACT,  NO. 14  OF  1990</w:t>
      </w:r>
    </w:p>
    <w:p>
      <w:pPr>
        <w:autoSpaceDN w:val="0"/>
        <w:autoSpaceDE w:val="0"/>
        <w:widowControl/>
        <w:spacing w:line="278" w:lineRule="exact" w:before="134" w:after="110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(1)This Act may be cited as the Inland Trust Receipts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   of 2023.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(2)The provisions of this Act,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1798" w:right="24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 referred to as the “appointed date”).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6" w:lineRule="exact" w:before="166" w:after="116"/>
        <w:ind w:left="145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0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3 of the Inland Trust Receipts Act, No. 14 of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section 3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Act, No.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 of 1990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1990 is hereby amended in subsection (1) of that section,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for the words “registered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Registration of Documents Ordinance as a bill of sale”,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0" w:after="110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words and figures “registered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    of 2023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2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(1)Where on the appointed date an inland trust receipt</w:t>
            </w:r>
          </w:p>
        </w:tc>
        <w:tc>
          <w:tcPr>
            <w:tcW w:type="dxa" w:w="1640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relating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inland trust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receipts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under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which has been registered under the Registration of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Documents Ordinance (Chapter 117) as a bill of sale is in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298"/>
        </w:trPr>
        <w:tc>
          <w:tcPr>
            <w:tcW w:type="dxa" w:w="288"/>
            <w:vMerge w:val="restart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force, such inland trust receipt shall, for a period of two years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from the appointed date, continue to be enforceable, but shall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required to be registered under the relevant provisions of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Secured Transactions Act, No.     of  2023 as a bill of sale,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  <w:tr>
        <w:trPr>
          <w:trHeight w:hRule="exact" w:val="1066"/>
        </w:trPr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  <w:tc>
          <w:tcPr>
            <w:tcW w:type="dxa" w:w="494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prior to the expiration of such period of two years.</w:t>
            </w:r>
          </w:p>
        </w:tc>
        <w:tc>
          <w:tcPr>
            <w:tcW w:type="dxa" w:w="3007"/>
            <w:vMerge/>
            <w:tcBorders>
              <w:bottom w:sz="3.839999914169311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8" w:lineRule="auto" w:before="32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 014101 – 475 (10/2023)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7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Inland Trust Receipts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2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78" w:right="64" w:firstLine="4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A bill of sale referred to in subsection (1) shall,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being registered 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No.    of 2023, be deemed to have been perfected from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 on which such bill of sale initially became legally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enforceable, and any priority which such bill of sale became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entitled to at the time it initially became legally enforceable,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continue to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A bill of sale referred to in subsection (1) which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 registered under the Secured Transactions Act, No.    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2023 prior to the expiration of two years from the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date, shall become legally unenforceable after the expiry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period.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4" w:after="0"/>
              <w:ind w:left="33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4"/>
        <w:ind w:left="0" w:right="0"/>
      </w:pPr>
    </w:p>
    <w:p>
      <w:pPr>
        <w:sectPr>
          <w:pgSz w:w="11900" w:h="16840"/>
          <w:pgMar w:top="1440" w:right="896" w:bottom="1440" w:left="234" w:header="720" w:footer="720" w:gutter="0"/>
          <w:cols w:space="720" w:num="1" w:equalWidth="0">
            <w:col w:w="1077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235" w:lineRule="auto" w:before="10388" w:after="0"/>
        <w:ind w:left="0" w:right="34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077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