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00"/>
        <w:ind w:left="0" w:right="0"/>
      </w:pPr>
    </w:p>
    <w:p>
      <w:pPr>
        <w:autoSpaceDN w:val="0"/>
        <w:autoSpaceDE w:val="0"/>
        <w:widowControl/>
        <w:spacing w:line="220" w:lineRule="exact" w:before="0" w:after="0"/>
        <w:ind w:left="0" w:right="261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332" w:lineRule="exact" w:before="242" w:after="0"/>
        <w:ind w:left="2116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30"/>
        </w:rPr>
        <w:t>THE  GAZETTE  OF  THE DEMOCRATIC</w:t>
      </w:r>
    </w:p>
    <w:p>
      <w:pPr>
        <w:autoSpaceDN w:val="0"/>
        <w:autoSpaceDE w:val="0"/>
        <w:widowControl/>
        <w:spacing w:line="332" w:lineRule="exact" w:before="38" w:after="0"/>
        <w:ind w:left="0" w:right="2750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30"/>
        </w:rPr>
        <w:t>SOCIALIST  REPUBLIC  OF</w:t>
      </w:r>
    </w:p>
    <w:p>
      <w:pPr>
        <w:autoSpaceDN w:val="0"/>
        <w:autoSpaceDE w:val="0"/>
        <w:widowControl/>
        <w:spacing w:line="332" w:lineRule="exact" w:before="56" w:after="0"/>
        <w:ind w:left="0" w:right="3752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30"/>
        </w:rPr>
        <w:t>SRI  LANKA</w:t>
      </w:r>
    </w:p>
    <w:p>
      <w:pPr>
        <w:autoSpaceDN w:val="0"/>
        <w:autoSpaceDE w:val="0"/>
        <w:widowControl/>
        <w:spacing w:line="266" w:lineRule="exact" w:before="312" w:after="0"/>
        <w:ind w:left="0" w:right="3128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4"/>
        </w:rPr>
        <w:t>Part</w:t>
      </w:r>
      <w:r>
        <w:rPr>
          <w:rFonts w:ascii="CIDFont+F2" w:hAnsi="CIDFont+F2" w:eastAsia="CIDFont+F2"/>
          <w:b/>
          <w:i w:val="0"/>
          <w:color w:val="000000"/>
          <w:sz w:val="24"/>
        </w:rPr>
        <w:t xml:space="preserve"> II of November 10, 2023</w:t>
      </w:r>
    </w:p>
    <w:p>
      <w:pPr>
        <w:autoSpaceDN w:val="0"/>
        <w:autoSpaceDE w:val="0"/>
        <w:widowControl/>
        <w:spacing w:line="266" w:lineRule="exact" w:before="262" w:after="0"/>
        <w:ind w:left="0" w:right="3742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4"/>
        </w:rPr>
        <w:t>SUPPLEMENT</w:t>
      </w:r>
    </w:p>
    <w:p>
      <w:pPr>
        <w:autoSpaceDN w:val="0"/>
        <w:autoSpaceDE w:val="0"/>
        <w:widowControl/>
        <w:spacing w:line="266" w:lineRule="exact" w:before="262" w:after="0"/>
        <w:ind w:left="0" w:right="3522" w:firstLine="0"/>
        <w:jc w:val="right"/>
      </w:pPr>
      <w:r>
        <w:rPr>
          <w:rFonts w:ascii="CIDFont+F3" w:hAnsi="CIDFont+F3" w:eastAsia="CIDFont+F3"/>
          <w:b w:val="0"/>
          <w:i/>
          <w:color w:val="000000"/>
          <w:sz w:val="24"/>
        </w:rPr>
        <w:t>(Issued on 10.11.2023)</w:t>
      </w:r>
    </w:p>
    <w:p>
      <w:pPr>
        <w:autoSpaceDN w:val="0"/>
        <w:autoSpaceDE w:val="0"/>
        <w:widowControl/>
        <w:spacing w:line="240" w:lineRule="auto" w:before="248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95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95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95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95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95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9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82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8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391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47089" cy="431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47089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72" w:after="0"/>
        <w:ind w:left="0" w:right="3296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0"/>
        </w:rPr>
        <w:t>MORTGAGE  (AMENDMENT )</w:t>
      </w:r>
    </w:p>
    <w:p>
      <w:pPr>
        <w:autoSpaceDN w:val="0"/>
        <w:autoSpaceDE w:val="0"/>
        <w:widowControl/>
        <w:spacing w:line="220" w:lineRule="exact" w:before="202" w:after="0"/>
        <w:ind w:left="0" w:right="4502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20" w:lineRule="exact" w:before="200" w:after="0"/>
        <w:ind w:left="0" w:right="4360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0"/>
        </w:rPr>
        <w:t>BILL</w:t>
      </w:r>
    </w:p>
    <w:p>
      <w:pPr>
        <w:autoSpaceDN w:val="0"/>
        <w:autoSpaceDE w:val="0"/>
        <w:widowControl/>
        <w:spacing w:line="264" w:lineRule="exact" w:before="248" w:after="0"/>
        <w:ind w:left="0" w:right="2608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4"/>
        </w:rPr>
        <w:t>to amend the Mortgage Act (Chapter 89)</w:t>
      </w:r>
    </w:p>
    <w:p>
      <w:pPr>
        <w:autoSpaceDN w:val="0"/>
        <w:autoSpaceDE w:val="0"/>
        <w:widowControl/>
        <w:spacing w:line="220" w:lineRule="exact" w:before="816" w:after="0"/>
        <w:ind w:left="2206" w:right="0" w:firstLine="0"/>
        <w:jc w:val="left"/>
      </w:pPr>
      <w:r>
        <w:rPr>
          <w:rFonts w:ascii="CIDFont+F3" w:hAnsi="CIDFont+F3" w:eastAsia="CIDFont+F3"/>
          <w:b w:val="0"/>
          <w:i/>
          <w:color w:val="000000"/>
          <w:sz w:val="20"/>
        </w:rPr>
        <w:t>Ordered to be published by the Minister of  Finance, Economic</w:t>
      </w:r>
    </w:p>
    <w:p>
      <w:pPr>
        <w:autoSpaceDN w:val="0"/>
        <w:autoSpaceDE w:val="0"/>
        <w:widowControl/>
        <w:spacing w:line="222" w:lineRule="exact" w:before="26" w:after="0"/>
        <w:ind w:left="0" w:right="3098" w:firstLine="0"/>
        <w:jc w:val="right"/>
      </w:pPr>
      <w:r>
        <w:rPr>
          <w:rFonts w:ascii="CIDFont+F3" w:hAnsi="CIDFont+F3" w:eastAsia="CIDFont+F3"/>
          <w:b w:val="0"/>
          <w:i/>
          <w:color w:val="000000"/>
          <w:sz w:val="20"/>
        </w:rPr>
        <w:t>Stabilization and National Policies</w:t>
      </w:r>
    </w:p>
    <w:p>
      <w:pPr>
        <w:autoSpaceDN w:val="0"/>
        <w:autoSpaceDE w:val="0"/>
        <w:widowControl/>
        <w:spacing w:line="122" w:lineRule="exact" w:before="232" w:after="0"/>
        <w:ind w:left="0" w:right="278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1"/>
        </w:rPr>
        <w:t>PRINTED AT THE DEPARTMENT OF GOVERNMENT PRINTING, SRI LANKA</w:t>
      </w:r>
    </w:p>
    <w:p>
      <w:pPr>
        <w:autoSpaceDN w:val="0"/>
        <w:autoSpaceDE w:val="0"/>
        <w:widowControl/>
        <w:spacing w:line="122" w:lineRule="exact" w:before="116" w:after="0"/>
        <w:ind w:left="0" w:right="2558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1"/>
        </w:rPr>
        <w:t>TO BE PURCHASED AT THE GOVERNMENT PUBLICATIONS BUREAU, COLOMBO 5</w:t>
      </w:r>
    </w:p>
    <w:p>
      <w:pPr>
        <w:autoSpaceDN w:val="0"/>
        <w:tabs>
          <w:tab w:pos="6280" w:val="left"/>
        </w:tabs>
        <w:autoSpaceDE w:val="0"/>
        <w:widowControl/>
        <w:spacing w:line="328" w:lineRule="exact" w:before="66" w:after="0"/>
        <w:ind w:left="1682" w:right="0" w:firstLine="0"/>
        <w:jc w:val="left"/>
      </w:pPr>
      <w:r>
        <w:rPr>
          <w:rFonts w:ascii="CIDFont+F2" w:hAnsi="CIDFont+F2" w:eastAsia="CIDFont+F2"/>
          <w:b/>
          <w:i w:val="0"/>
          <w:color w:val="000000"/>
          <w:sz w:val="20"/>
        </w:rPr>
        <w:t xml:space="preserve">Price Rs. 6.00 </w:t>
      </w:r>
      <w:r>
        <w:tab/>
      </w:r>
      <w:r>
        <w:rPr>
          <w:rFonts w:ascii="CIDFont+F2" w:hAnsi="CIDFont+F2" w:eastAsia="CIDFont+F2"/>
          <w:b/>
          <w:i w:val="0"/>
          <w:color w:val="000000"/>
          <w:sz w:val="20"/>
        </w:rPr>
        <w:t>Postage : Rs. 50.00</w:t>
      </w:r>
    </w:p>
    <w:p>
      <w:pPr>
        <w:autoSpaceDN w:val="0"/>
        <w:tabs>
          <w:tab w:pos="7232" w:val="left"/>
        </w:tabs>
        <w:autoSpaceDE w:val="0"/>
        <w:widowControl/>
        <w:spacing w:line="240" w:lineRule="auto" w:before="0" w:after="0"/>
        <w:ind w:left="1712" w:right="0" w:firstLine="0"/>
        <w:jc w:val="left"/>
      </w:pPr>
      <w:r>
        <w:rPr>
          <w:rFonts w:ascii="CIDFont+F3" w:hAnsi="CIDFont+F3" w:eastAsia="CIDFont+F3"/>
          <w:b w:val="0"/>
          <w:i/>
          <w:color w:val="000000"/>
          <w:sz w:val="16"/>
        </w:rPr>
        <w:t xml:space="preserve">This  Gazette  Supplement can  be  downloaded  from 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000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22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6"/>
        <w:ind w:left="0" w:right="0"/>
      </w:pPr>
    </w:p>
    <w:p>
      <w:pPr>
        <w:autoSpaceDN w:val="0"/>
        <w:autoSpaceDE w:val="0"/>
        <w:widowControl/>
        <w:spacing w:line="220" w:lineRule="exact" w:before="552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178" w:lineRule="exact" w:before="2042" w:after="0"/>
        <w:ind w:left="0" w:right="4084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38" w:lineRule="exact" w:before="188" w:after="0"/>
        <w:ind w:left="1888" w:right="2688" w:firstLine="0"/>
        <w:jc w:val="both"/>
      </w:pPr>
      <w:r>
        <w:rPr>
          <w:rFonts w:ascii="CIDFont+F5" w:hAnsi="CIDFont+F5" w:eastAsia="CIDFont+F5"/>
          <w:b/>
          <w:i/>
          <w:color w:val="000000"/>
          <w:sz w:val="16"/>
        </w:rPr>
        <w:t>Clause 2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: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This clause inserts the new section 68A in the Mortgage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Act (Chapter 89), and the legal effect of that section is to limit the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applicability of Part III of the Mortgage Act in relation to movable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 xml:space="preserve">property upon coming into operation of the Secured Transactions </w:t>
      </w:r>
      <w:r>
        <w:rPr>
          <w:rFonts w:ascii="CIDFont+F1" w:hAnsi="CIDFont+F1" w:eastAsia="CIDFont+F1"/>
          <w:b w:val="0"/>
          <w:i w:val="0"/>
          <w:color w:val="000000"/>
          <w:sz w:val="16"/>
        </w:rPr>
        <w:t>Act, No.   of 2023.</w:t>
      </w:r>
    </w:p>
    <w:p>
      <w:pPr>
        <w:sectPr>
          <w:pgSz w:w="12240" w:h="15840"/>
          <w:pgMar w:top="1144" w:right="1440" w:bottom="144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68"/>
        <w:ind w:left="0" w:right="0"/>
      </w:pPr>
    </w:p>
    <w:p>
      <w:pPr>
        <w:sectPr>
          <w:pgSz w:w="12240" w:h="15840"/>
          <w:pgMar w:top="1214" w:right="1440" w:bottom="1440" w:left="1440" w:header="720" w:footer="720" w:gutter="0"/>
          <w:cols w:space="720" w:num="1" w:equalWidth="0"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156" w:firstLine="0"/>
        <w:jc w:val="right"/>
      </w:pPr>
      <w:r>
        <w:rPr>
          <w:rFonts w:ascii="CIDFont+F2" w:hAnsi="CIDFont+F2" w:eastAsia="CIDFont+F2"/>
          <w:b/>
          <w:i w:val="0"/>
          <w:color w:val="000000"/>
          <w:sz w:val="20"/>
        </w:rPr>
        <w:t>L.D. - O. 65/2017</w:t>
      </w:r>
    </w:p>
    <w:p>
      <w:pPr>
        <w:sectPr>
          <w:type w:val="continuous"/>
          <w:pgSz w:w="12240" w:h="15840"/>
          <w:pgMar w:top="1214" w:right="1440" w:bottom="1440" w:left="1440" w:header="720" w:footer="720" w:gutter="0"/>
          <w:cols w:space="720" w:num="2" w:equalWidth="0">
            <w:col w:w="3578" w:space="0"/>
            <w:col w:w="5782" w:space="0"/>
            <w:col w:w="9360" w:space="0"/>
            <w:col w:w="936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1.999999999999886" w:type="dxa"/>
      </w:tblPr>
      <w:tblGrid>
        <w:gridCol w:w="4680"/>
        <w:gridCol w:w="4680"/>
      </w:tblGrid>
      <w:tr>
        <w:trPr>
          <w:trHeight w:hRule="exact" w:val="21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" w:after="0"/>
              <w:ind w:left="96" w:right="0" w:firstLine="0"/>
              <w:jc w:val="left"/>
            </w:pPr>
            <w:r>
              <w:rPr>
                <w:rFonts w:ascii="CIDFont+F3" w:hAnsi="CIDFont+F3" w:eastAsia="CIDFont+F3"/>
                <w:b w:val="0"/>
                <w:i/>
                <w:color w:val="000000"/>
                <w:sz w:val="20"/>
              </w:rPr>
              <w:t>Mortgage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29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800"/>
        <w:ind w:left="0" w:right="0"/>
      </w:pPr>
    </w:p>
    <w:p>
      <w:pPr>
        <w:sectPr>
          <w:type w:val="nextColumn"/>
          <w:pgSz w:w="12240" w:h="15840"/>
          <w:pgMar w:top="1214" w:right="1440" w:bottom="1440" w:left="1440" w:header="720" w:footer="720" w:gutter="0"/>
          <w:cols w:space="720" w:num="2" w:equalWidth="0">
            <w:col w:w="3578" w:space="0"/>
            <w:col w:w="5782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2304" w:right="2880" w:firstLine="0"/>
        <w:jc w:val="center"/>
      </w:pPr>
      <w:r>
        <w:rPr>
          <w:rFonts w:ascii="CIDFont+F2" w:hAnsi="CIDFont+F2" w:eastAsia="CIDFont+F2"/>
          <w:b/>
          <w:i w:val="0"/>
          <w:color w:val="000000"/>
          <w:sz w:val="20"/>
        </w:rPr>
        <w:t xml:space="preserve">AN  ACT   TO   AMEND  THE   MORTGAGE ACT </w:t>
      </w:r>
      <w:r>
        <w:br/>
      </w:r>
      <w:r>
        <w:rPr>
          <w:rFonts w:ascii="CIDFont+F2" w:hAnsi="CIDFont+F2" w:eastAsia="CIDFont+F2"/>
          <w:b/>
          <w:i w:val="0"/>
          <w:color w:val="000000"/>
          <w:sz w:val="20"/>
        </w:rPr>
        <w:t>(CHAPTER 89)</w:t>
      </w:r>
    </w:p>
    <w:p>
      <w:pPr>
        <w:autoSpaceDN w:val="0"/>
        <w:autoSpaceDE w:val="0"/>
        <w:widowControl/>
        <w:spacing w:line="262" w:lineRule="exact" w:before="230" w:after="238"/>
        <w:ind w:left="1984" w:right="2592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6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8" w:after="0"/>
              <w:ind w:left="0" w:right="7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90" w:firstLine="0"/>
              <w:jc w:val="righ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0" w:right="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22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This Act may be cited as the Mortgage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8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1872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84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(Amendment) Act, No.        of 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1872"/>
            <w:vMerge/>
            <w:tcBorders/>
          </w:tcPr>
          <w:p/>
        </w:tc>
        <w:tc>
          <w:tcPr>
            <w:tcW w:type="dxa" w:w="5616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6" w:after="0"/>
              <w:ind w:left="102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08"/>
        </w:trPr>
        <w:tc>
          <w:tcPr>
            <w:tcW w:type="dxa" w:w="1872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4" w:after="0"/>
              <w:ind w:left="20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The provisions of this Act, other than the</w:t>
            </w:r>
          </w:p>
        </w:tc>
        <w:tc>
          <w:tcPr>
            <w:tcW w:type="dxa" w:w="187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0" w:after="0"/>
        <w:ind w:left="1984" w:right="2594" w:firstLine="0"/>
        <w:jc w:val="both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provisions of this section, shall come into operation on such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date as the Minister may appoint by Order published in the </w:t>
      </w:r>
      <w:r>
        <w:rPr>
          <w:rFonts w:ascii="CIDFont+F3" w:hAnsi="CIDFont+F3" w:eastAsia="CIDFont+F3"/>
          <w:b w:val="0"/>
          <w:i/>
          <w:color w:val="000000"/>
          <w:sz w:val="20"/>
        </w:rPr>
        <w:t>Gazette.</w:t>
      </w:r>
    </w:p>
    <w:p>
      <w:pPr>
        <w:autoSpaceDN w:val="0"/>
        <w:tabs>
          <w:tab w:pos="1984" w:val="left"/>
          <w:tab w:pos="2546" w:val="left"/>
          <w:tab w:pos="2984" w:val="left"/>
        </w:tabs>
        <w:autoSpaceDE w:val="0"/>
        <w:widowControl/>
        <w:spacing w:line="262" w:lineRule="exact" w:before="258" w:after="238"/>
        <w:ind w:left="1706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(3)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 The provisions of this section shall come into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10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120"/>
        <w:gridCol w:w="3120"/>
        <w:gridCol w:w="3120"/>
      </w:tblGrid>
      <w:tr>
        <w:trPr>
          <w:trHeight w:hRule="exact" w:val="26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88" w:after="0"/>
              <w:ind w:left="0" w:right="3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6" w:after="0"/>
              <w:ind w:left="264" w:right="0" w:firstLine="0"/>
              <w:jc w:val="lef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4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immediately after section 68 of the Mortgage Act (Chapter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68A in</w:t>
            </w:r>
          </w:p>
        </w:tc>
      </w:tr>
      <w:tr>
        <w:trPr>
          <w:trHeight w:hRule="exact" w:val="1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89) and shall have effect as section 68A of that enactment :-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4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Chapter 89</w:t>
            </w:r>
          </w:p>
        </w:tc>
      </w:tr>
      <w:tr>
        <w:trPr>
          <w:trHeight w:hRule="exact" w:val="162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4" w:after="0"/>
              <w:ind w:left="0" w:right="56" w:firstLine="0"/>
              <w:jc w:val="right"/>
            </w:pP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68A.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The provisions of part III of this Act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0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1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shall only apply to any movable property in so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of part III to</w:t>
            </w:r>
          </w:p>
        </w:tc>
      </w:tr>
      <w:tr>
        <w:trPr>
          <w:trHeight w:hRule="exact" w:val="6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movable</w:t>
            </w:r>
          </w:p>
        </w:tc>
      </w:tr>
      <w:tr>
        <w:trPr>
          <w:trHeight w:hRule="exact" w:val="140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4" w:after="0"/>
              <w:ind w:left="11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far as they are not inconsistent with the</w:t>
            </w:r>
          </w:p>
        </w:tc>
        <w:tc>
          <w:tcPr>
            <w:tcW w:type="dxa" w:w="3120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120"/>
            <w:vMerge/>
            <w:tcBorders/>
          </w:tcPr>
          <w:p/>
        </w:tc>
        <w:tc>
          <w:tcPr>
            <w:tcW w:type="dxa" w:w="3120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2" w:after="0"/>
              <w:ind w:left="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property.</w:t>
            </w:r>
          </w:p>
        </w:tc>
      </w:tr>
      <w:tr>
        <w:trPr>
          <w:trHeight w:hRule="exact" w:val="276"/>
        </w:trPr>
        <w:tc>
          <w:tcPr>
            <w:tcW w:type="dxa" w:w="3120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4" w:after="0"/>
              <w:ind w:left="1166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provisions of the Secured Transactions Act,</w:t>
            </w:r>
          </w:p>
        </w:tc>
        <w:tc>
          <w:tcPr>
            <w:tcW w:type="dxa" w:w="3120"/>
            <w:vMerge/>
            <w:tcBorders/>
          </w:tcPr>
          <w:p/>
        </w:tc>
      </w:tr>
    </w:tbl>
    <w:p>
      <w:pPr>
        <w:autoSpaceDN w:val="0"/>
        <w:tabs>
          <w:tab w:pos="3086" w:val="left"/>
        </w:tabs>
        <w:autoSpaceDE w:val="0"/>
        <w:widowControl/>
        <w:spacing w:line="254" w:lineRule="exact" w:before="0" w:after="238"/>
        <w:ind w:left="1706" w:right="2592" w:firstLine="0"/>
        <w:jc w:val="left"/>
      </w:pP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No.      of  2023, from and after the date of </w:t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 xml:space="preserve">coming into operation of the said Secured </w:t>
      </w:r>
      <w:r>
        <w:tab/>
      </w:r>
      <w:r>
        <w:rPr>
          <w:rFonts w:ascii="CIDFont+F1" w:hAnsi="CIDFont+F1" w:eastAsia="CIDFont+F1"/>
          <w:b w:val="0"/>
          <w:i w:val="0"/>
          <w:color w:val="000000"/>
          <w:sz w:val="20"/>
        </w:rPr>
        <w:t>Transactions Act.’’.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80"/>
        <w:gridCol w:w="4680"/>
      </w:tblGrid>
      <w:tr>
        <w:trPr>
          <w:trHeight w:hRule="exact" w:val="674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4" w:val="left"/>
              </w:tabs>
              <w:autoSpaceDE w:val="0"/>
              <w:widowControl/>
              <w:spacing w:line="262" w:lineRule="exact" w:before="18" w:after="0"/>
              <w:ind w:left="1004" w:right="0" w:firstLine="0"/>
              <w:jc w:val="left"/>
            </w:pPr>
            <w:r>
              <w:tab/>
            </w:r>
            <w:r>
              <w:rPr>
                <w:rFonts w:ascii="CIDFont+F2" w:hAnsi="CIDFont+F2" w:eastAsia="CIDFont+F2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 xml:space="preserve">  In the event of any inconsistency between the Sinhala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" w:after="0"/>
              <w:ind w:left="72" w:right="72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178" w:lineRule="exact" w:before="24" w:after="0"/>
        <w:ind w:left="0" w:right="152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inconsistency</w:t>
      </w:r>
    </w:p>
    <w:p>
      <w:pPr>
        <w:autoSpaceDN w:val="0"/>
        <w:autoSpaceDE w:val="0"/>
        <w:widowControl/>
        <w:spacing w:line="178" w:lineRule="exact" w:before="292" w:after="0"/>
        <w:ind w:left="162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PL 014099 - 475 (10/ 2023)</w:t>
      </w:r>
    </w:p>
    <w:p>
      <w:pPr>
        <w:sectPr>
          <w:type w:val="continuous"/>
          <w:pgSz w:w="12240" w:h="15840"/>
          <w:pgMar w:top="1214" w:right="1440" w:bottom="1440" w:left="1440" w:header="720" w:footer="720" w:gutter="0"/>
          <w:cols w:space="720" w:num="1" w:equalWidth="0">
            <w:col w:w="9360" w:space="0"/>
            <w:col w:w="3578" w:space="0"/>
            <w:col w:w="5782" w:space="0"/>
            <w:col w:w="9360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90"/>
        <w:ind w:left="0" w:right="0"/>
      </w:pPr>
    </w:p>
    <w:p>
      <w:pPr>
        <w:autoSpaceDN w:val="0"/>
        <w:autoSpaceDE w:val="0"/>
        <w:widowControl/>
        <w:spacing w:line="220" w:lineRule="exact" w:before="224" w:after="0"/>
        <w:ind w:left="1872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126" w:lineRule="exact" w:before="9784" w:after="0"/>
        <w:ind w:left="0" w:right="0" w:firstLine="0"/>
        <w:jc w:val="center"/>
      </w:pP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DEPARTMENT</w:t>
      </w: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OF</w:t>
      </w: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GOVERNMENT</w:t>
      </w:r>
      <w:r>
        <w:rPr>
          <w:w w:val="101.08076442371716"/>
          <w:rFonts w:ascii="CIDFont+F4" w:hAnsi="CIDFont+F4" w:eastAsia="CIDFont+F4"/>
          <w:b w:val="0"/>
          <w:i w:val="0"/>
          <w:color w:val="000000"/>
          <w:sz w:val="11"/>
        </w:rPr>
        <w:t>PRINTING.</w:t>
      </w:r>
    </w:p>
    <w:sectPr w:rsidR="00FC693F" w:rsidRPr="0006063C" w:rsidSect="00034616">
      <w:pgSz w:w="12240" w:h="15840"/>
      <w:pgMar w:top="1308" w:right="1440" w:bottom="1434" w:left="1440" w:header="720" w:footer="720" w:gutter="0"/>
      <w:cols w:space="720" w:num="1" w:equalWidth="0">
        <w:col w:w="9360" w:space="0"/>
        <w:col w:w="9360" w:space="0"/>
        <w:col w:w="3578" w:space="0"/>
        <w:col w:w="5782" w:space="0"/>
        <w:col w:w="9360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