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2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MY DREAM JAFFNA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8" w:lineRule="auto" w:before="20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24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My Dream Jaffna Foundation</w:t>
      </w:r>
    </w:p>
    <w:p>
      <w:pPr>
        <w:autoSpaceDN w:val="0"/>
        <w:autoSpaceDE w:val="0"/>
        <w:widowControl/>
        <w:spacing w:line="235" w:lineRule="auto" w:before="23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8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Sarathi Dushmantha,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Kegalle District on 09th of November, 2023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30,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215]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1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06" w:after="0"/>
        <w:ind w:left="19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REAM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AFFNA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816" w:val="left"/>
          <w:tab w:pos="6718" w:val="left"/>
        </w:tabs>
        <w:autoSpaceDE w:val="0"/>
        <w:widowControl/>
        <w:spacing w:line="252" w:lineRule="auto" w:before="512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</w:t>
      </w:r>
      <w:r>
        <w:rPr>
          <w:rFonts w:ascii="Times" w:hAnsi="Times" w:eastAsia="Times"/>
          <w:b w:val="0"/>
          <w:i w:val="0"/>
          <w:color w:val="221F1F"/>
          <w:sz w:val="14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Dream Jaffna Foundation” has heretofore been formed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effectually carrying out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autoSpaceDE w:val="0"/>
        <w:widowControl/>
        <w:spacing w:line="252" w:lineRule="auto" w:before="264" w:after="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>be  incorporated and it will be expedient to grant the said</w:t>
      </w:r>
    </w:p>
    <w:p>
      <w:pPr>
        <w:autoSpaceDN w:val="0"/>
        <w:tabs>
          <w:tab w:pos="1816" w:val="left"/>
        </w:tabs>
        <w:autoSpaceDE w:val="0"/>
        <w:widowControl/>
        <w:spacing w:line="266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3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56" w:val="left"/>
          <w:tab w:pos="6746" w:val="left"/>
        </w:tabs>
        <w:autoSpaceDE w:val="0"/>
        <w:widowControl/>
        <w:spacing w:line="247" w:lineRule="auto" w:before="266" w:after="204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My Dream Jaffna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Y</w:t>
            </w:r>
          </w:p>
        </w:tc>
      </w:tr>
      <w:tr>
        <w:trPr>
          <w:trHeight w:hRule="exact" w:val="2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My Dream Jaffna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Dream Jaffna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0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Corporation hereby constituted, shall be a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perpetual succession, under the name and style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My Dream Jaffna Foundation (hereinafter referred to as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“body corporate”) and by that name may sue and be sued,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courts with full power and  authority to have and use a </w:t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body corporate shall be deemed to be a 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meaning, and for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that Act shall apply to and in relation to the</w:t>
      </w:r>
    </w:p>
    <w:p>
      <w:pPr>
        <w:autoSpaceDN w:val="0"/>
        <w:tabs>
          <w:tab w:pos="1816" w:val="left"/>
        </w:tabs>
        <w:autoSpaceDE w:val="0"/>
        <w:widowControl/>
        <w:spacing w:line="281" w:lineRule="auto" w:before="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not-for profit Organization and it is solely for the benifit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26"/>
        <w:ind w:left="0" w:right="1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all necessary facilities to the public,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2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given priority to the development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 helping hand to the renaissance in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 of agriculture, fisheries and livestock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constructive measures to build up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physically and mentally healthiest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 helping hand for development of language,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arts, culture, heritage and litrature;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contribute in building up a technologically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centralized society;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6" w:after="1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socio-welfare programmes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aim of creating a knowledgeable and strong future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young generation;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all other constructive measures in order to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 the economy of the people; and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4" w:after="22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all other necessary activities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 the above socio-welfare projects.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implementation of the objects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(1), the Corporation shall ensure that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66" w:lineRule="auto" w:before="0" w:after="0"/>
        <w:ind w:left="23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472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any Provincial Council or Local 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Bodies.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office bearers as may be specified by the  rules </w:t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Board of Management of the Foundation 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office on the day immediately preceding the date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Board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until the first  Board is appointed or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8.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My Dream Jaffna Foundation (Incorporation)</w:t>
      </w:r>
    </w:p>
    <w:p>
      <w:pPr>
        <w:autoSpaceDN w:val="0"/>
        <w:autoSpaceDE w:val="0"/>
        <w:widowControl/>
        <w:spacing w:line="259" w:lineRule="auto" w:before="476" w:after="232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power–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 rent, construct, renovate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2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deal with or dispose of the same as may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7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cash or kind or without security:</w:t>
      </w:r>
    </w:p>
    <w:p>
      <w:pPr>
        <w:autoSpaceDN w:val="0"/>
        <w:tabs>
          <w:tab w:pos="2424" w:val="left"/>
          <w:tab w:pos="2634" w:val="left"/>
        </w:tabs>
        <w:autoSpaceDE w:val="0"/>
        <w:widowControl/>
        <w:spacing w:line="266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22" w:val="left"/>
          <w:tab w:pos="2424" w:val="left"/>
          <w:tab w:pos="2432" w:val="left"/>
        </w:tabs>
        <w:autoSpaceDE w:val="0"/>
        <w:widowControl/>
        <w:spacing w:line="264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accounts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banks;</w:t>
      </w:r>
    </w:p>
    <w:p>
      <w:pPr>
        <w:autoSpaceDN w:val="0"/>
        <w:tabs>
          <w:tab w:pos="2008" w:val="left"/>
          <w:tab w:pos="2424" w:val="left"/>
          <w:tab w:pos="2432" w:val="left"/>
        </w:tabs>
        <w:autoSpaceDE w:val="0"/>
        <w:widowControl/>
        <w:spacing w:line="262" w:lineRule="auto" w:before="29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body corporate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Committee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66" w:lineRule="auto" w:before="0" w:after="0"/>
        <w:ind w:left="23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81" w:lineRule="auto" w:before="492" w:after="28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81" w:lineRule="auto" w:before="22" w:after="28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8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42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fees payable by members;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or Board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8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66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My Dream Jaffna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472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ub-committee thereof, notices and agenda of 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members of the Board and the body corporate;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2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management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2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82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be amended,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82" w:after="22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2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Board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66" w:lineRule="auto" w:before="0" w:after="0"/>
        <w:ind w:left="23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95" w:lineRule="auto" w:before="504" w:after="27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88" w:lineRule="auto" w:before="3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88" w:lineRule="auto" w:before="378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 Auditor General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76" w:lineRule="auto" w:before="378" w:after="31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</w:tbl>
    <w:p>
      <w:pPr>
        <w:autoSpaceDN w:val="0"/>
        <w:autoSpaceDE w:val="0"/>
        <w:widowControl/>
        <w:spacing w:line="295" w:lineRule="auto" w:before="28" w:after="3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02" w:lineRule="auto" w:before="3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report together with the audited statement of accounts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Secretary of the Ministry of the Minister assigned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Social Services and to the Registrar of Voluntary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6" w:after="0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Services Organizations appointed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autoSpaceDE w:val="0"/>
        <w:widowControl/>
        <w:spacing w:line="250" w:lineRule="auto" w:before="230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accounts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paid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 shall be able and capable in law, to take and hold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property,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grants, gifts,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dispositions or otherwise and all such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body corporate for the purposes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subject to the rules of the body corporate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7, with power to sell, mortgage, lease, exchange </w:t>
      </w:r>
      <w:r>
        <w:rPr>
          <w:rFonts w:ascii="Times" w:hAnsi="Times" w:eastAsia="Times"/>
          <w:b w:val="0"/>
          <w:i w:val="0"/>
          <w:color w:val="221F1F"/>
          <w:sz w:val="20"/>
        </w:rPr>
        <w:t>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affixed to any instrument whatsoever, except in the presence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292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such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59" w:lineRule="auto" w:before="290" w:after="1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by the majority of votes of the members present.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7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