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26" w:after="0"/>
        <w:ind w:left="0" w:right="29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November 24, 2023</w:t>
      </w:r>
    </w:p>
    <w:p>
      <w:pPr>
        <w:autoSpaceDN w:val="0"/>
        <w:autoSpaceDE w:val="0"/>
        <w:widowControl/>
        <w:spacing w:line="362" w:lineRule="auto" w:before="322" w:after="0"/>
        <w:ind w:left="3456" w:right="331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SUPPLEMENT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4"/>
        </w:rPr>
        <w:t>(Issued on 24.11.2023)</w:t>
      </w:r>
    </w:p>
    <w:p>
      <w:pPr>
        <w:autoSpaceDN w:val="0"/>
        <w:autoSpaceDE w:val="0"/>
        <w:widowControl/>
        <w:spacing w:line="240" w:lineRule="auto" w:before="188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6" w:lineRule="auto" w:before="382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VANNI MANN CHARITY FOUNDATION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(INCORPORATION)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(Private Members’ Bill)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BILL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incorporate the Vanni Mann Charity Foundation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To be presented in Parliament by Hon. Charles Nirmalanathan, M.P.</w:t>
      </w:r>
    </w:p>
    <w:p>
      <w:pPr>
        <w:autoSpaceDN w:val="0"/>
        <w:autoSpaceDE w:val="0"/>
        <w:widowControl/>
        <w:spacing w:line="415" w:lineRule="auto" w:before="12" w:after="0"/>
        <w:ind w:left="2592" w:right="259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for Vanni District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5" w:lineRule="auto" w:before="130" w:after="0"/>
        <w:ind w:left="143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7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4510"/>
        <w:gridCol w:w="4510"/>
      </w:tblGrid>
      <w:tr>
        <w:trPr>
          <w:trHeight w:hRule="exact" w:val="316"/>
        </w:trPr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Vanni Mann Charity Foundation (Incorporation)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7" w:lineRule="auto" w:before="406" w:after="0"/>
        <w:ind w:left="2304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ANNI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ANN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HARITY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6718" w:val="left"/>
        </w:tabs>
        <w:autoSpaceDE w:val="0"/>
        <w:widowControl/>
        <w:spacing w:line="252" w:lineRule="auto" w:before="264" w:after="10"/>
        <w:ind w:left="1816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 Foundation 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“Vanni Mann Charity Foundation ” has heretofore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formed in Sri Lanka the purpose of effectually carrying out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transacting all objects and matters connected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said Foundation according to the rules agreed to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members:</w:t>
            </w:r>
          </w:p>
        </w:tc>
      </w:tr>
    </w:tbl>
    <w:p>
      <w:pPr>
        <w:autoSpaceDN w:val="0"/>
        <w:autoSpaceDE w:val="0"/>
        <w:widowControl/>
        <w:spacing w:line="250" w:lineRule="auto" w:before="206" w:after="10"/>
        <w:ind w:left="18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221F1F"/>
          <w:sz w:val="20"/>
        </w:rPr>
        <w:t>and matters for which it was formed and has applied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incorporated and it will be for the public advantage to grant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application:</w:t>
            </w:r>
          </w:p>
        </w:tc>
      </w:tr>
    </w:tbl>
    <w:p>
      <w:pPr>
        <w:autoSpaceDN w:val="0"/>
        <w:autoSpaceDE w:val="0"/>
        <w:widowControl/>
        <w:spacing w:line="247" w:lineRule="auto" w:before="206" w:after="204"/>
        <w:ind w:left="18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Vanni Mann Charity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 (Incorporation) Act, No.    of 2023.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3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24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Vanni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“Vanni Mann Charity Foundation” (hereinafter referred to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Mann charity</w:t>
            </w:r>
          </w:p>
        </w:tc>
      </w:tr>
      <w:tr>
        <w:trPr>
          <w:trHeight w:hRule="exact" w:val="23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“Foundation”) or shall hereafter be admitted as members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hereby constituted, shall be a body corporate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10"/>
        <w:ind w:left="18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perpetual succession, under the name and style of  “Vanni </w:t>
      </w:r>
      <w:r>
        <w:rPr>
          <w:rFonts w:ascii="Times" w:hAnsi="Times" w:eastAsia="Times"/>
          <w:b w:val="0"/>
          <w:i w:val="0"/>
          <w:color w:val="221F1F"/>
          <w:sz w:val="20"/>
        </w:rPr>
        <w:t>Mann Charity Foundation” (hereinafter referred to as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“Corporation”) and by that name may sue and be sued and </w:t>
      </w:r>
      <w:r>
        <w:rPr>
          <w:rFonts w:ascii="Times" w:hAnsi="Times" w:eastAsia="Times"/>
          <w:b w:val="0"/>
          <w:i w:val="0"/>
          <w:color w:val="221F1F"/>
          <w:sz w:val="20"/>
        </w:rPr>
        <w:t>have full power and  authority to have and use a common seal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alter the same at its pleasure.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Coporation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motivation programmes to encourage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2" w:after="0"/>
        <w:ind w:left="181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school children;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86" w:val="left"/>
        </w:tabs>
        <w:autoSpaceDE w:val="0"/>
        <w:widowControl/>
        <w:spacing w:line="266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Vanni Mann Charity Foundation (Incorporation)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47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participate in social, cultural and economic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development of the country;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2" w:after="212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take measures to protect and discipline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cultural values of the people;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3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give assistance to develop worship places;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information technology centers for the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7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advanancement of scienific studies;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4" w:after="224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work towards to protect and develop all rights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women and children;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peace,goodwill, understanding and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cooperation among all communities and people of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57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4" w:after="2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assist needy school children to enable them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continue their education;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liaise and co-ordinate with other local and foreign</w:t>
            </w:r>
          </w:p>
        </w:tc>
      </w:tr>
    </w:tbl>
    <w:p>
      <w:pPr>
        <w:autoSpaceDN w:val="0"/>
        <w:autoSpaceDE w:val="0"/>
        <w:widowControl/>
        <w:spacing w:line="238" w:lineRule="auto" w:before="14" w:after="230"/>
        <w:ind w:left="0" w:right="34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institutions which have similar 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Management of the affairs of the Corporation shall,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other provisions of this Act and the rules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force for the time being of the corporation be administered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a Committee of Management consisting of Chairman,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Secretary, Treasurer and another eleven members elected in</w:t>
      </w:r>
    </w:p>
    <w:p>
      <w:pPr>
        <w:autoSpaceDN w:val="0"/>
        <w:autoSpaceDE w:val="0"/>
        <w:widowControl/>
        <w:spacing w:line="238" w:lineRule="auto" w:before="4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accordance with such rules.</w:t>
      </w:r>
    </w:p>
    <w:p>
      <w:pPr>
        <w:autoSpaceDN w:val="0"/>
        <w:autoSpaceDE w:val="0"/>
        <w:widowControl/>
        <w:spacing w:line="235" w:lineRule="auto" w:before="308" w:after="0"/>
        <w:ind w:left="19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first Committee of Management shall consist of</w:t>
      </w:r>
    </w:p>
    <w:p>
      <w:pPr>
        <w:autoSpaceDN w:val="0"/>
        <w:autoSpaceDE w:val="0"/>
        <w:widowControl/>
        <w:spacing w:line="238" w:lineRule="auto" w:before="4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members of the Committee of Management holding office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8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the day immediately preceding the date of commencement</w:t>
      </w:r>
    </w:p>
    <w:p>
      <w:pPr>
        <w:autoSpaceDN w:val="0"/>
        <w:autoSpaceDE w:val="0"/>
        <w:widowControl/>
        <w:spacing w:line="235" w:lineRule="auto" w:before="2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500"/>
        </w:trPr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Vanni Mann Charity Foundation (Incorporation)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14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2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law, the Corporation shall have the power to do,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acts, matters and things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456" w:val="left"/>
          <w:tab w:pos="1796" w:val="left"/>
        </w:tabs>
        <w:autoSpaceDE w:val="0"/>
        <w:widowControl/>
        <w:spacing w:line="259" w:lineRule="auto" w:before="12" w:after="216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whatsoever as are necessary or desirable for the promotion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furtherance of the objects of the Corporation or any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them, including the power to acquire and hold Property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movable, to open, operate and close bank accounts, to borrow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raise moneys with or without security, to erect any building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structures on any land held by the corporation and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engage, employ and dismiss officers and servants required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carrying out of the objects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916" w:right="0" w:firstLine="20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It shall be  lawful for the Corporation, from time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of the members and by 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7" w:lineRule="auto" w:before="1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majority of not less than two thirds of the members present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rules, not inconsistent with the provisions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or any other written law, on all or any of the following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matters:-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76" w:after="20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 and the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withdrawal, expulsion of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bearers, the resignation from,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bearers and their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powers, conduct and duties;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76" w:after="20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the members of the Committees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Management and its powers, conduct and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observed at and the summoning</w:t>
            </w:r>
          </w:p>
        </w:tc>
      </w:tr>
    </w:tbl>
    <w:p>
      <w:pPr>
        <w:autoSpaceDN w:val="0"/>
        <w:autoSpaceDE w:val="0"/>
        <w:widowControl/>
        <w:spacing w:line="257" w:lineRule="auto" w:before="12" w:after="21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Committee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or sub committee and of the time,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places, notices and agenda of such meetings,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quorum thereof and the conduct of business thereof;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powers, conduct, duties and functions of the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various officers, agents and servants of Corporation;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86" w:val="left"/>
        </w:tabs>
        <w:autoSpaceDE w:val="0"/>
        <w:widowControl/>
        <w:spacing w:line="266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Vanni Mann Charity Foundation (Incorporation)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454" w:after="17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administrations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Corporation, the custody of its funds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maintenance and audit of its accounts;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affairs of the corporation</w:t>
            </w:r>
          </w:p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accomplishment of its objects.</w:t>
            </w:r>
          </w:p>
        </w:tc>
      </w:tr>
    </w:tbl>
    <w:p>
      <w:pPr>
        <w:autoSpaceDN w:val="0"/>
        <w:autoSpaceDE w:val="0"/>
        <w:widowControl/>
        <w:spacing w:line="245" w:lineRule="auto" w:before="160" w:after="170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Corporation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a rule made under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Every member of the Corporation shall be subject to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on the day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preceding the date of commencement of this Act, shall be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paid and discharge by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Corporation hereby constituted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debts due to,  subscriptions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Foundation on that day shall be paid to the Corporation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purposes of this Act.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Corporation shall have its own fund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monyes heretofore or hereafter to be received by way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gifts, bequest, donation, subscription, contribution, fees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grants for and on account of the corporation shall be deposited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credit of the Corporation in one or more banks as the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Committee of Management shall determine.</w:t>
      </w:r>
    </w:p>
    <w:p>
      <w:pPr>
        <w:autoSpaceDN w:val="0"/>
        <w:autoSpaceDE w:val="0"/>
        <w:widowControl/>
        <w:spacing w:line="245" w:lineRule="auto" w:before="230" w:after="2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There shall be paid out of the Fund, all sums of money </w:t>
      </w:r>
      <w:r>
        <w:rPr>
          <w:rFonts w:ascii="Times" w:hAnsi="Times" w:eastAsia="Times"/>
          <w:b w:val="0"/>
          <w:i w:val="0"/>
          <w:color w:val="000000"/>
          <w:sz w:val="20"/>
        </w:rPr>
        <w:t>required to defray any expenditure incurred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 in the exercise, performance and discharge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powers, duties and functions under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Corporation shall be able and capable in law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and hold any property, movable or immovable which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become vested in it by virtue of any purchase, grant,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0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lease, gift, testamentary disposition or otherwise and all such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shall be held by the Corporation for the purpose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and subject to the rules in force for the time being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Corporation, with full power to sell, mortgage, lease, </w:t>
      </w:r>
      <w:r>
        <w:rPr>
          <w:rFonts w:ascii="Times" w:hAnsi="Times" w:eastAsia="Times"/>
          <w:b w:val="0"/>
          <w:i w:val="0"/>
          <w:color w:val="221F1F"/>
          <w:sz w:val="20"/>
        </w:rPr>
        <w:t>exchange or otherwise dispose of  the same.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Vanni Mann Charity Foundation (Incorporation)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5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remaining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upon the dissolution of the Corporation there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36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remains after the satisfaction of all its debts and liabilities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64" w:lineRule="auto" w:before="16" w:after="232"/>
        <w:ind w:left="14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distributed among the members of the Corporation, but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given or transferred to some other institution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 having objects similar to those of the Corporation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which, is or are by its or their rules  prohibited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distributing any income or property among their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and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the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coporation</w:t>
            </w:r>
          </w:p>
        </w:tc>
      </w:tr>
    </w:tbl>
    <w:p>
      <w:pPr>
        <w:autoSpaceDN w:val="0"/>
        <w:autoSpaceDE w:val="0"/>
        <w:widowControl/>
        <w:spacing w:line="254" w:lineRule="auto" w:before="136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>kept of all moneys received and expended,by the Corporation.</w:t>
      </w:r>
    </w:p>
    <w:p>
      <w:pPr>
        <w:autoSpaceDN w:val="0"/>
        <w:tabs>
          <w:tab w:pos="1796" w:val="left"/>
          <w:tab w:pos="2038" w:val="left"/>
        </w:tabs>
        <w:autoSpaceDE w:val="0"/>
        <w:widowControl/>
        <w:spacing w:line="264" w:lineRule="auto" w:before="292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be examined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Audited at least once  in every year and the correctness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income and expenditure account and balance sheet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certified by a qualified auditor appointed by the 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Management.</w:t>
      </w:r>
    </w:p>
    <w:p>
      <w:pPr>
        <w:autoSpaceDN w:val="0"/>
        <w:autoSpaceDE w:val="0"/>
        <w:widowControl/>
        <w:spacing w:line="235" w:lineRule="auto" w:before="294" w:after="23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In this section “qualified auditor” means–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who, being a member of the Institute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Chartered Accountants of Sri Lanka, or  any other</w:t>
            </w:r>
          </w:p>
        </w:tc>
      </w:tr>
    </w:tbl>
    <w:p>
      <w:pPr>
        <w:autoSpaceDN w:val="0"/>
        <w:autoSpaceDE w:val="0"/>
        <w:widowControl/>
        <w:spacing w:line="259" w:lineRule="auto" w:before="2" w:after="23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practise as an Accountant, issued by the Council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Accountants, each of the resident partners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which, being a member of the Institute of Chartered</w:t>
            </w:r>
          </w:p>
        </w:tc>
      </w:tr>
    </w:tbl>
    <w:p>
      <w:pPr>
        <w:autoSpaceDN w:val="0"/>
        <w:autoSpaceDE w:val="0"/>
        <w:widowControl/>
        <w:spacing w:line="257" w:lineRule="auto" w:before="14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Accountants of Sri Lanka or any other institute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established by law, possesses a certificate to practice</w:t>
      </w:r>
    </w:p>
    <w:p>
      <w:pPr>
        <w:autoSpaceDN w:val="0"/>
        <w:autoSpaceDE w:val="0"/>
        <w:widowControl/>
        <w:spacing w:line="238" w:lineRule="auto" w:before="6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as an Accountant, issued by the Council of such</w:t>
      </w:r>
    </w:p>
    <w:p>
      <w:pPr>
        <w:autoSpaceDN w:val="0"/>
        <w:autoSpaceDE w:val="0"/>
        <w:widowControl/>
        <w:spacing w:line="238" w:lineRule="auto" w:before="74" w:after="0"/>
        <w:ind w:left="0" w:right="57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86" w:val="left"/>
        </w:tabs>
        <w:autoSpaceDE w:val="0"/>
        <w:widowControl/>
        <w:spacing w:line="266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Vanni Mann Charity Foundation (Incorporation)</w:t>
      </w:r>
    </w:p>
    <w:p>
      <w:pPr>
        <w:autoSpaceDN w:val="0"/>
        <w:tabs>
          <w:tab w:pos="1942" w:val="left"/>
          <w:tab w:pos="2394" w:val="left"/>
          <w:tab w:pos="6622" w:val="left"/>
        </w:tabs>
        <w:autoSpaceDE w:val="0"/>
        <w:widowControl/>
        <w:spacing w:line="254" w:lineRule="auto" w:before="476" w:after="0"/>
        <w:ind w:left="1702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12.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Seal of the  Corporation shall not be affixed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Seal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instrument whatsoever, except in the presence of two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Corporation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2" w:after="226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Committee of Management, who shall sign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names to the instrument in token of their presence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signing shall be independent of the signing of any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politic,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persons expect such as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inconsistancy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2"/>
        <w:ind w:left="0" w:right="0"/>
      </w:pPr>
    </w:p>
    <w:p>
      <w:pPr>
        <w:autoSpaceDN w:val="0"/>
        <w:autoSpaceDE w:val="0"/>
        <w:widowControl/>
        <w:spacing w:line="2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3.9999999999998" w:type="dxa"/>
      </w:tblPr>
      <w:tblGrid>
        <w:gridCol w:w="4510"/>
        <w:gridCol w:w="4510"/>
      </w:tblGrid>
      <w:tr>
        <w:trPr>
          <w:trHeight w:hRule="exact" w:val="9376"/>
        </w:trPr>
        <w:tc>
          <w:tcPr>
            <w:tcW w:type="dxa" w:w="493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Vanni Mann Charity Foundation (Incorporation)</w:t>
            </w:r>
          </w:p>
        </w:tc>
        <w:tc>
          <w:tcPr>
            <w:tcW w:type="dxa" w:w="13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8" w:lineRule="auto" w:before="32" w:after="0"/>
        <w:ind w:left="0" w:right="333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