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82"/>
        <w:ind w:left="0" w:right="0"/>
      </w:pPr>
    </w:p>
    <w:p>
      <w:pPr>
        <w:autoSpaceDN w:val="0"/>
        <w:tabs>
          <w:tab w:pos="2650" w:val="left"/>
          <w:tab w:pos="3674" w:val="left"/>
        </w:tabs>
        <w:autoSpaceDE w:val="0"/>
        <w:widowControl/>
        <w:spacing w:line="245" w:lineRule="auto" w:before="0" w:after="0"/>
        <w:ind w:left="1816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8"/>
        </w:rPr>
        <w:t xml:space="preserve">THE  GAZETTE  OF  THE  DEMOCRATIC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>SOCIALIST  REPUBLIC  OF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 xml:space="preserve"> SRI  LANKA</w:t>
      </w:r>
    </w:p>
    <w:p>
      <w:pPr>
        <w:autoSpaceDN w:val="0"/>
        <w:autoSpaceDE w:val="0"/>
        <w:widowControl/>
        <w:spacing w:line="230" w:lineRule="auto" w:before="44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Part II of November 24, 2023</w:t>
      </w:r>
    </w:p>
    <w:p>
      <w:pPr>
        <w:autoSpaceDN w:val="0"/>
        <w:autoSpaceDE w:val="0"/>
        <w:widowControl/>
        <w:spacing w:line="230" w:lineRule="auto" w:before="28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8"/>
        </w:rPr>
        <w:t>SUPPLEMENT</w:t>
      </w:r>
    </w:p>
    <w:p>
      <w:pPr>
        <w:autoSpaceDN w:val="0"/>
        <w:autoSpaceDE w:val="0"/>
        <w:widowControl/>
        <w:spacing w:line="230" w:lineRule="auto" w:before="308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24"/>
        </w:rPr>
        <w:t>(Issued on 28.11.2023)</w:t>
      </w:r>
    </w:p>
    <w:p>
      <w:pPr>
        <w:autoSpaceDN w:val="0"/>
        <w:autoSpaceDE w:val="0"/>
        <w:widowControl/>
        <w:spacing w:line="240" w:lineRule="auto" w:before="23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71220" cy="1162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1162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24" w:after="0"/>
        <w:ind w:left="2016" w:right="1872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SHOP AND OFFICE EMPLOYEES (REGULATION OF 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EMPLOYMENT AND REMUNERATION) </w:t>
      </w:r>
    </w:p>
    <w:p>
      <w:pPr>
        <w:autoSpaceDN w:val="0"/>
        <w:autoSpaceDE w:val="0"/>
        <w:widowControl/>
        <w:spacing w:line="233" w:lineRule="auto" w:before="66" w:after="0"/>
        <w:ind w:left="0" w:right="3690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0" w:lineRule="auto" w:before="284" w:after="0"/>
        <w:ind w:left="0" w:right="4386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A</w:t>
      </w:r>
    </w:p>
    <w:p>
      <w:pPr>
        <w:autoSpaceDN w:val="0"/>
        <w:autoSpaceDE w:val="0"/>
        <w:widowControl/>
        <w:spacing w:line="230" w:lineRule="auto" w:before="164" w:after="0"/>
        <w:ind w:left="0" w:right="4192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BILL</w:t>
      </w:r>
    </w:p>
    <w:p>
      <w:pPr>
        <w:autoSpaceDN w:val="0"/>
        <w:tabs>
          <w:tab w:pos="3310" w:val="left"/>
        </w:tabs>
        <w:autoSpaceDE w:val="0"/>
        <w:widowControl/>
        <w:spacing w:line="300" w:lineRule="exact" w:before="324" w:after="0"/>
        <w:ind w:left="1452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 to amend the</w:t>
      </w:r>
      <w:r>
        <w:rPr>
          <w:rFonts w:ascii="MinionPro" w:hAnsi="MinionPro" w:eastAsia="MinionPro"/>
          <w:b/>
          <w:i w:val="0"/>
          <w:color w:val="221F1F"/>
          <w:sz w:val="20"/>
        </w:rPr>
        <w:t xml:space="preserve">Shop and Office Employees (Regulation of Employment and </w:t>
      </w:r>
      <w:r>
        <w:tab/>
      </w:r>
      <w:r>
        <w:rPr>
          <w:rFonts w:ascii="MinionPro" w:hAnsi="MinionPro" w:eastAsia="MinionPro"/>
          <w:b/>
          <w:i w:val="0"/>
          <w:color w:val="221F1F"/>
          <w:sz w:val="20"/>
        </w:rPr>
        <w:t>Remuneration) Act (Chapter 129)</w:t>
      </w:r>
    </w:p>
    <w:p>
      <w:pPr>
        <w:autoSpaceDN w:val="0"/>
        <w:autoSpaceDE w:val="0"/>
        <w:widowControl/>
        <w:spacing w:line="233" w:lineRule="auto" w:before="170" w:after="0"/>
        <w:ind w:left="149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Ordered to be published by the Minister of Labour and Foreign Employment </w:t>
      </w:r>
    </w:p>
    <w:p>
      <w:pPr>
        <w:autoSpaceDN w:val="0"/>
        <w:autoSpaceDE w:val="0"/>
        <w:widowControl/>
        <w:spacing w:line="230" w:lineRule="auto" w:before="19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>PRINTED AT THE DEPARTMENT OF GOVERNMENT PRINTING, SRI LANKA</w:t>
      </w:r>
    </w:p>
    <w:p>
      <w:pPr>
        <w:autoSpaceDN w:val="0"/>
        <w:autoSpaceDE w:val="0"/>
        <w:widowControl/>
        <w:spacing w:line="230" w:lineRule="auto" w:before="13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>TO BE PURCHASED AT THE GOVERNMENT PUBLICATIONS BUREAU, COLOMBO 5</w:t>
      </w:r>
    </w:p>
    <w:p>
      <w:pPr>
        <w:autoSpaceDN w:val="0"/>
        <w:tabs>
          <w:tab w:pos="5928" w:val="left"/>
        </w:tabs>
        <w:autoSpaceDE w:val="0"/>
        <w:widowControl/>
        <w:spacing w:line="240" w:lineRule="auto" w:before="134" w:after="0"/>
        <w:ind w:left="143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Price : Rs. </w:t>
      </w:r>
      <w:r>
        <w:rPr>
          <w:rFonts w:ascii="FMAbabldBold" w:hAnsi="FMAbabldBold" w:eastAsia="FMAbabldBold"/>
          <w:b/>
          <w:i w:val="0"/>
          <w:color w:val="221F1F"/>
          <w:sz w:val="18"/>
        </w:rPr>
        <w:t xml:space="preserve">9'00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Postage Fee : Rs.</w:t>
      </w:r>
      <w:r>
        <w:rPr>
          <w:rFonts w:ascii="FMAbabldBold" w:hAnsi="FMAbabldBold" w:eastAsia="FMAbabldBold"/>
          <w:b/>
          <w:i w:val="0"/>
          <w:color w:val="221F1F"/>
          <w:sz w:val="18"/>
        </w:rPr>
        <w:t xml:space="preserve"> 50'00</w:t>
      </w:r>
    </w:p>
    <w:p>
      <w:pPr>
        <w:autoSpaceDN w:val="0"/>
        <w:tabs>
          <w:tab w:pos="7000" w:val="left"/>
        </w:tabs>
        <w:autoSpaceDE w:val="0"/>
        <w:widowControl/>
        <w:spacing w:line="240" w:lineRule="auto" w:before="258" w:after="0"/>
        <w:ind w:left="1440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6"/>
        </w:rPr>
        <w:t>This Gazette Supplement can be downloaded from 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31800" cy="43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8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3226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16"/>
        </w:rPr>
        <w:t>STATEMENT OF LEGAL EFFECT</w:t>
      </w:r>
    </w:p>
    <w:p>
      <w:pPr>
        <w:autoSpaceDN w:val="0"/>
        <w:autoSpaceDE w:val="0"/>
        <w:widowControl/>
        <w:spacing w:line="305" w:lineRule="auto" w:before="320" w:after="0"/>
        <w:ind w:left="1332" w:right="1414" w:firstLine="220"/>
        <w:jc w:val="both"/>
      </w:pPr>
      <w:r>
        <w:rPr>
          <w:rFonts w:ascii="TimesNewRomanPS" w:hAnsi="TimesNewRomanPS" w:eastAsia="TimesNewRomanPS"/>
          <w:b/>
          <w:i w:val="0"/>
          <w:color w:val="020404"/>
          <w:sz w:val="16"/>
        </w:rPr>
        <w:t xml:space="preserve">Clause 2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 This clause amends section 10 of the principal enactment and the legal effect of the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section as amended is to employ before 6.00 a.m or after 6.00 p.m any female employee who has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attained the age of eighteen in any institution which is engaged in business, based on information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technology and knowledge process outsourcing or business process outsourcing or engaged in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administration of accounts or related work in a Back Office for an institute situated abroad.</w:t>
      </w:r>
    </w:p>
    <w:p>
      <w:pPr>
        <w:autoSpaceDN w:val="0"/>
        <w:autoSpaceDE w:val="0"/>
        <w:widowControl/>
        <w:spacing w:line="300" w:lineRule="auto" w:before="318" w:after="0"/>
        <w:ind w:left="1332" w:right="1414" w:firstLine="220"/>
        <w:jc w:val="both"/>
      </w:pPr>
      <w:r>
        <w:rPr>
          <w:rFonts w:ascii="TimesNewRomanPS" w:hAnsi="TimesNewRomanPS" w:eastAsia="TimesNewRomanPS"/>
          <w:b/>
          <w:i w:val="0"/>
          <w:color w:val="020404"/>
          <w:sz w:val="16"/>
        </w:rPr>
        <w:t xml:space="preserve">Clause 3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amends section 66 of the principal enactment to enable the Minister to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make regulations specifying the terms and conditions relating to welfare of such females including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their security, transport facilities and facilities to rest to be followed by an employer who employs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such female after 10.00 p.m. and before 6.00 a.m. </w:t>
      </w:r>
    </w:p>
    <w:p>
      <w:pPr>
        <w:autoSpaceDN w:val="0"/>
        <w:tabs>
          <w:tab w:pos="1552" w:val="left"/>
        </w:tabs>
        <w:autoSpaceDE w:val="0"/>
        <w:widowControl/>
        <w:spacing w:line="276" w:lineRule="auto" w:before="318" w:after="0"/>
        <w:ind w:left="1332" w:right="1296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20404"/>
          <w:sz w:val="16"/>
        </w:rPr>
        <w:t xml:space="preserve">Clause 4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amends section 68 of the principal enactment to expand the definition of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the expression “office” and is consequential  to the  amendment made to  Clause 2.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0"/>
        <w:ind w:left="0" w:right="0"/>
      </w:pPr>
    </w:p>
    <w:p>
      <w:pPr>
        <w:autoSpaceDN w:val="0"/>
        <w:tabs>
          <w:tab w:pos="2620" w:val="left"/>
          <w:tab w:pos="2724" w:val="left"/>
        </w:tabs>
        <w:autoSpaceDE w:val="0"/>
        <w:widowControl/>
        <w:spacing w:line="245" w:lineRule="auto" w:before="0" w:after="0"/>
        <w:ind w:left="1800" w:right="2880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Shop And Office Employees (Regulation Of </w:t>
      </w:r>
      <w:r>
        <w:br/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Employment And Remuneration)(Amendment)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L.D.-O. 27/2022</w:t>
      </w:r>
    </w:p>
    <w:p>
      <w:pPr>
        <w:autoSpaceDN w:val="0"/>
        <w:autoSpaceDE w:val="0"/>
        <w:widowControl/>
        <w:spacing w:line="250" w:lineRule="auto" w:before="276" w:after="0"/>
        <w:ind w:left="2120" w:right="2376" w:hanging="3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 act to amend the shop and office employees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(regulation of employment and remuneration) act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(chapter 129)</w:t>
      </w:r>
    </w:p>
    <w:p>
      <w:pPr>
        <w:autoSpaceDN w:val="0"/>
        <w:autoSpaceDE w:val="0"/>
        <w:widowControl/>
        <w:spacing w:line="245" w:lineRule="auto" w:before="276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it enacted by the Parliament of the Democratic Socialist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Republic of Sri Lanka as follows: -</w:t>
      </w:r>
    </w:p>
    <w:p>
      <w:pPr>
        <w:autoSpaceDN w:val="0"/>
        <w:autoSpaceDE w:val="0"/>
        <w:widowControl/>
        <w:spacing w:line="230" w:lineRule="auto" w:before="276" w:after="0"/>
        <w:ind w:left="0" w:right="1670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1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.  This Act may be cited as the Shop and Office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Short title</w:t>
      </w:r>
    </w:p>
    <w:p>
      <w:pPr>
        <w:autoSpaceDN w:val="0"/>
        <w:autoSpaceDE w:val="0"/>
        <w:widowControl/>
        <w:spacing w:line="230" w:lineRule="auto" w:before="28" w:after="12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Employees (Regulation of Employment and Remuneration)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2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12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(Amendment) Act, No.      of 2023.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5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Amendment </w:t>
            </w:r>
          </w:p>
        </w:tc>
      </w:tr>
      <w:tr>
        <w:trPr>
          <w:trHeight w:hRule="exact" w:val="300"/>
        </w:trPr>
        <w:tc>
          <w:tcPr>
            <w:tcW w:type="dxa" w:w="3009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6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Section 10 of the Shop and Office Employees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9"/>
        </w:trPr>
        <w:tc>
          <w:tcPr>
            <w:tcW w:type="dxa" w:w="3009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(Regulation of Employment and Remuneration) Act (Chapter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section 10 </w:t>
            </w:r>
          </w:p>
        </w:tc>
      </w:tr>
      <w:tr>
        <w:trPr>
          <w:trHeight w:hRule="exact" w:val="267"/>
        </w:trPr>
        <w:tc>
          <w:tcPr>
            <w:tcW w:type="dxa" w:w="3009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129) (in this Act referred to as the “principal enactment”) is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of Chapter 129</w:t>
            </w:r>
          </w:p>
        </w:tc>
      </w:tr>
    </w:tbl>
    <w:p>
      <w:pPr>
        <w:autoSpaceDN w:val="0"/>
        <w:autoSpaceDE w:val="0"/>
        <w:widowControl/>
        <w:spacing w:line="230" w:lineRule="auto" w:before="1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hereby amended as follows: -</w:t>
      </w:r>
    </w:p>
    <w:p>
      <w:pPr>
        <w:autoSpaceDN w:val="0"/>
        <w:tabs>
          <w:tab w:pos="2310" w:val="left"/>
          <w:tab w:pos="2650" w:val="left"/>
        </w:tabs>
        <w:autoSpaceDE w:val="0"/>
        <w:widowControl/>
        <w:spacing w:line="242" w:lineRule="exact" w:before="192" w:after="0"/>
        <w:ind w:left="1442" w:right="2304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(1)  in subparagraph (iii) of paragraph (b) of subsection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(2), by the substitution for the words and figures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“between 6.00 p.m. and 8.00 p.m.; and”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words and figures “between 6.00 p.m. and 8.00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p.m.;”; </w:t>
      </w:r>
    </w:p>
    <w:p>
      <w:pPr>
        <w:autoSpaceDN w:val="0"/>
        <w:tabs>
          <w:tab w:pos="2310" w:val="left"/>
          <w:tab w:pos="2650" w:val="left"/>
        </w:tabs>
        <w:autoSpaceDE w:val="0"/>
        <w:widowControl/>
        <w:spacing w:line="242" w:lineRule="exact" w:before="188" w:after="0"/>
        <w:ind w:left="1442" w:right="2304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 in subparagraph (iv) of  paragraph (b) of subsection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(2), by the substitution for the words and figures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“between 6.00 p.m. and 10.00 p.m.” of the words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figures “between 6.00 p.m. and 10.00 p.m.;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and ”;</w:t>
      </w:r>
    </w:p>
    <w:p>
      <w:pPr>
        <w:autoSpaceDN w:val="0"/>
        <w:tabs>
          <w:tab w:pos="2310" w:val="left"/>
          <w:tab w:pos="2650" w:val="left"/>
        </w:tabs>
        <w:autoSpaceDE w:val="0"/>
        <w:widowControl/>
        <w:spacing w:line="248" w:lineRule="exact" w:before="182" w:after="0"/>
        <w:ind w:left="1442" w:right="2304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>20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(3)  by the insertion, immediately after subparagraph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(iv) of paragraph (b) of subsection (2)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following: -</w:t>
      </w:r>
    </w:p>
    <w:p>
      <w:pPr>
        <w:autoSpaceDN w:val="0"/>
        <w:autoSpaceDE w:val="0"/>
        <w:widowControl/>
        <w:spacing w:line="245" w:lineRule="auto" w:before="188" w:after="8"/>
        <w:ind w:left="3140" w:right="2304" w:hanging="38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“(v) any female who has attained the age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eighteen years may be employed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0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6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 any institution which is engaged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business, based on information technology 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314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knowledge process outsourcing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business process outsourcing, or engaged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 administration and accounts or related </w:t>
      </w:r>
    </w:p>
    <w:p>
      <w:pPr>
        <w:autoSpaceDN w:val="0"/>
        <w:autoSpaceDE w:val="0"/>
        <w:widowControl/>
        <w:spacing w:line="214" w:lineRule="exact" w:before="164" w:after="0"/>
        <w:ind w:left="1440" w:right="0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16"/>
        </w:rPr>
        <w:t>PL 014202 -  475 (11/2023)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1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47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4"/>
              </w:rPr>
              <w:t>2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432" w:right="1296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 xml:space="preserve">Shop And Office Employees (Regulation Of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 xml:space="preserve">Employment And Remuneration)(Amendment) </w:t>
            </w:r>
          </w:p>
        </w:tc>
      </w:tr>
    </w:tbl>
    <w:p>
      <w:pPr>
        <w:autoSpaceDN w:val="0"/>
        <w:autoSpaceDE w:val="0"/>
        <w:widowControl/>
        <w:spacing w:line="250" w:lineRule="auto" w:before="46" w:after="128"/>
        <w:ind w:left="304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work in a back office for an institute situated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abroad before 6.00 a.m. or after 6.00 p.m. 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any day.”.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275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96" w:after="0"/>
              <w:ind w:left="0" w:right="7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6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Section 66 of the principal enactment is hereby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Amendment of </w:t>
            </w:r>
          </w:p>
        </w:tc>
      </w:tr>
      <w:tr>
        <w:trPr>
          <w:trHeight w:hRule="exact" w:val="221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amended by the insertion immediately after paragraph (f) of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section 66 of </w:t>
            </w:r>
          </w:p>
        </w:tc>
      </w:tr>
      <w:tr>
        <w:trPr>
          <w:trHeight w:hRule="exact" w:val="4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principal </w:t>
            </w:r>
          </w:p>
        </w:tc>
      </w:tr>
      <w:tr>
        <w:trPr>
          <w:trHeight w:hRule="exact" w:val="134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subsection (2), of the following: 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enactment </w:t>
            </w:r>
          </w:p>
        </w:tc>
      </w:tr>
    </w:tbl>
    <w:p>
      <w:pPr>
        <w:autoSpaceDN w:val="0"/>
        <w:tabs>
          <w:tab w:pos="2226" w:val="left"/>
          <w:tab w:pos="2726" w:val="left"/>
        </w:tabs>
        <w:autoSpaceDE w:val="0"/>
        <w:widowControl/>
        <w:spacing w:line="248" w:lineRule="exact" w:before="30" w:after="128"/>
        <w:ind w:left="138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“(fa) in respect of the terms and conditions to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followed by an employer who employs any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female, relating to the welfare of such females,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including their security, transport facilities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facilities to rest when such females are employed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after 10.00 p.m. and before 6.00 a.m.;”.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6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44" w:after="0"/>
              <w:ind w:left="0" w:right="4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6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Section 68 of the principal enactment is hereby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Amendment of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amended as follows: 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section 68 of </w:t>
            </w:r>
          </w:p>
        </w:tc>
      </w:tr>
      <w:tr>
        <w:trPr>
          <w:trHeight w:hRule="exact" w:val="157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principal </w:t>
            </w:r>
          </w:p>
        </w:tc>
      </w:tr>
      <w:tr>
        <w:trPr>
          <w:trHeight w:hRule="exact" w:val="323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9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(1)  in paragraph (a), in the definition of the 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enactment</w:t>
            </w:r>
          </w:p>
        </w:tc>
      </w:tr>
      <w:tr>
        <w:trPr>
          <w:trHeight w:hRule="exact" w:val="25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expression “office”, by the substitution for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4" w:after="0"/>
        <w:ind w:left="289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words “literature), and” of the words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“literature);”;</w:t>
      </w:r>
    </w:p>
    <w:p>
      <w:pPr>
        <w:autoSpaceDN w:val="0"/>
        <w:autoSpaceDE w:val="0"/>
        <w:widowControl/>
        <w:spacing w:line="230" w:lineRule="auto" w:before="148" w:after="10"/>
        <w:ind w:left="0" w:right="246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 in paragraph (b) thereof, by the substitution for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67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words “for the purposes of this Act;”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words “for the purposes of this Act; and”;</w:t>
            </w:r>
          </w:p>
        </w:tc>
      </w:tr>
    </w:tbl>
    <w:p>
      <w:pPr>
        <w:autoSpaceDN w:val="0"/>
        <w:tabs>
          <w:tab w:pos="2896" w:val="left"/>
        </w:tabs>
        <w:autoSpaceDE w:val="0"/>
        <w:widowControl/>
        <w:spacing w:line="245" w:lineRule="auto" w:before="88" w:after="0"/>
        <w:ind w:left="255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  by the addition, immediately after paragraph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(b) thereof, of the following: -</w:t>
      </w:r>
    </w:p>
    <w:p>
      <w:pPr>
        <w:autoSpaceDN w:val="0"/>
        <w:autoSpaceDE w:val="0"/>
        <w:widowControl/>
        <w:spacing w:line="230" w:lineRule="auto" w:before="148" w:after="14"/>
        <w:ind w:left="0" w:right="247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“(c) any institution engaged in business,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49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6" w:after="0"/>
              <w:ind w:left="0" w:right="84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7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based on information technology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knowledge process outsourcing or </w:t>
            </w:r>
          </w:p>
        </w:tc>
      </w:tr>
    </w:tbl>
    <w:p>
      <w:pPr>
        <w:autoSpaceDN w:val="0"/>
        <w:autoSpaceDE w:val="0"/>
        <w:widowControl/>
        <w:spacing w:line="250" w:lineRule="auto" w:before="14" w:after="6"/>
        <w:ind w:left="3294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business process outsourcing or engaged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 administration and accounts or related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work in a back office in connection with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31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" w:after="0"/>
              <w:ind w:left="0" w:right="4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6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any institution situated abroad;”. 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Sinhala text </w:t>
            </w:r>
          </w:p>
        </w:tc>
      </w:tr>
      <w:tr>
        <w:trPr>
          <w:trHeight w:hRule="exact" w:val="2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6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In the event of any inconsistency between the Sinhala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Tamil texts of this Act, the Sinhala text shall prevail.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to prevail </w:t>
            </w:r>
          </w:p>
        </w:tc>
      </w:tr>
      <w:tr>
        <w:trPr>
          <w:trHeight w:hRule="exact" w:val="21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in case of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153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inconsistency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88"/>
        <w:ind w:left="0" w:right="0"/>
      </w:pPr>
    </w:p>
    <w:p>
      <w:pPr>
        <w:autoSpaceDN w:val="0"/>
        <w:autoSpaceDE w:val="0"/>
        <w:widowControl/>
        <w:spacing w:line="244" w:lineRule="exact" w:before="44" w:after="0"/>
        <w:ind w:left="0" w:right="0" w:firstLine="0"/>
        <w:jc w:val="center"/>
      </w:pPr>
      <w:r>
        <w:rPr>
          <w:rFonts w:ascii="MinionPro" w:hAnsi="MinionPro" w:eastAsia="MinionPro"/>
          <w:b w:val="0"/>
          <w:i w:val="0"/>
          <w:color w:val="221F1F"/>
          <w:sz w:val="18"/>
        </w:rPr>
        <w:t>Printed at the Department of  Government Printing</w:t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 w:num="1" w:equalWidth="0">
        <w:col w:w="9026" w:space="0"/>
        <w:col w:w="9026" w:space="0"/>
        <w:col w:w="9026" w:space="0"/>
        <w:col w:w="902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