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16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218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870200" cy="723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723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90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PARLIAMENT  OF  THE  DEMOCRATIC </w:t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SOCIALIST  REPUBLIC  OF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 xml:space="preserve"> SRI  LANKA</w:t>
      </w:r>
    </w:p>
    <w:p>
      <w:pPr>
        <w:autoSpaceDN w:val="0"/>
        <w:autoSpaceDE w:val="0"/>
        <w:widowControl/>
        <w:spacing w:line="233" w:lineRule="auto" w:before="1068" w:after="0"/>
        <w:ind w:left="0" w:right="242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POWERS OF  ATTORNEY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0" w:lineRule="auto" w:before="28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A</w:t>
      </w:r>
    </w:p>
    <w:p>
      <w:pPr>
        <w:autoSpaceDN w:val="0"/>
        <w:autoSpaceDE w:val="0"/>
        <w:widowControl/>
        <w:spacing w:line="230" w:lineRule="auto" w:before="26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2"/>
        </w:rPr>
        <w:t>BILL</w:t>
      </w:r>
    </w:p>
    <w:p>
      <w:pPr>
        <w:autoSpaceDN w:val="0"/>
        <w:autoSpaceDE w:val="0"/>
        <w:widowControl/>
        <w:spacing w:line="233" w:lineRule="auto" w:before="26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 xml:space="preserve"> to amend the Powers of Attorney Ordinance (Chapter 122)</w:t>
      </w:r>
    </w:p>
    <w:p>
      <w:pPr>
        <w:autoSpaceDN w:val="0"/>
        <w:autoSpaceDE w:val="0"/>
        <w:widowControl/>
        <w:spacing w:line="245" w:lineRule="auto" w:before="946" w:after="0"/>
        <w:ind w:left="2304" w:right="216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Presented by the  Minister of Justice, Prison Affairs and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Constitutional Reforms on  29</w:t>
      </w:r>
      <w:r>
        <w:rPr>
          <w:w w:val="97.16666539510092"/>
          <w:rFonts w:ascii="TimesNewRomanPS" w:hAnsi="TimesNewRomanPS" w:eastAsia="TimesNewRomanPS"/>
          <w:b w:val="0"/>
          <w:i/>
          <w:color w:val="000000"/>
          <w:sz w:val="12"/>
        </w:rPr>
        <w:t>th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 xml:space="preserve"> of  November, 2023</w:t>
      </w:r>
    </w:p>
    <w:p>
      <w:pPr>
        <w:autoSpaceDN w:val="0"/>
        <w:autoSpaceDE w:val="0"/>
        <w:widowControl/>
        <w:spacing w:line="233" w:lineRule="auto" w:before="23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(Published in the Gazette on November 15, 2023)</w:t>
      </w:r>
    </w:p>
    <w:p>
      <w:pPr>
        <w:autoSpaceDN w:val="0"/>
        <w:autoSpaceDE w:val="0"/>
        <w:widowControl/>
        <w:spacing w:line="233" w:lineRule="auto" w:before="258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Ordered by Parliament to be printed</w:t>
      </w:r>
    </w:p>
    <w:p>
      <w:pPr>
        <w:autoSpaceDN w:val="0"/>
        <w:autoSpaceDE w:val="0"/>
        <w:widowControl/>
        <w:spacing w:line="233" w:lineRule="auto" w:before="626" w:after="0"/>
        <w:ind w:left="143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[Bill No.218]</w:t>
      </w:r>
    </w:p>
    <w:p>
      <w:pPr>
        <w:autoSpaceDN w:val="0"/>
        <w:autoSpaceDE w:val="0"/>
        <w:widowControl/>
        <w:spacing w:line="230" w:lineRule="auto" w:before="82" w:after="0"/>
        <w:ind w:left="0" w:right="268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PRINTED AT THE DEPARTMENT OF GOVERNMENT PRINTING, SRI LANKA</w:t>
      </w:r>
    </w:p>
    <w:p>
      <w:pPr>
        <w:autoSpaceDN w:val="0"/>
        <w:autoSpaceDE w:val="0"/>
        <w:widowControl/>
        <w:spacing w:line="230" w:lineRule="auto" w:before="70" w:after="0"/>
        <w:ind w:left="0" w:right="237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0"/>
        </w:rPr>
        <w:t>TO BE PURCHASED AT THE GOVERNMENT PUBLICATIONS BUREAU, COLOMBO 5</w:t>
      </w:r>
    </w:p>
    <w:p>
      <w:pPr>
        <w:autoSpaceDN w:val="0"/>
        <w:tabs>
          <w:tab w:pos="6244" w:val="left"/>
        </w:tabs>
        <w:autoSpaceDE w:val="0"/>
        <w:widowControl/>
        <w:spacing w:line="240" w:lineRule="auto" w:before="134" w:after="0"/>
        <w:ind w:left="1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Price : Rs. 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>9</w:t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.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 xml:space="preserve">00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Postage : Rs.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 xml:space="preserve"> 50</w:t>
      </w:r>
      <w:r>
        <w:rPr>
          <w:rFonts w:ascii="TimesNewRomanPS" w:hAnsi="TimesNewRomanPS" w:eastAsia="TimesNewRomanPS"/>
          <w:b/>
          <w:i w:val="0"/>
          <w:color w:val="221F1F"/>
          <w:sz w:val="18"/>
        </w:rPr>
        <w:t>.</w:t>
      </w:r>
      <w:r>
        <w:rPr>
          <w:rFonts w:ascii="FMAbabldBold" w:hAnsi="FMAbabldBold" w:eastAsia="FMAbabldBold"/>
          <w:b/>
          <w:i w:val="0"/>
          <w:color w:val="221F1F"/>
          <w:sz w:val="18"/>
        </w:rPr>
        <w:t>00</w:t>
      </w:r>
    </w:p>
    <w:p>
      <w:pPr>
        <w:autoSpaceDN w:val="0"/>
        <w:tabs>
          <w:tab w:pos="7000" w:val="left"/>
        </w:tabs>
        <w:autoSpaceDE w:val="0"/>
        <w:widowControl/>
        <w:spacing w:line="240" w:lineRule="auto" w:before="56" w:after="0"/>
        <w:ind w:left="1440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>This Bill can be downloaded from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31800" cy="431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8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08"/>
        <w:ind w:left="0" w:right="0"/>
      </w:pPr>
    </w:p>
    <w:p>
      <w:pPr>
        <w:autoSpaceDN w:val="0"/>
        <w:autoSpaceDE w:val="0"/>
        <w:widowControl/>
        <w:spacing w:line="230" w:lineRule="auto" w:before="0" w:after="0"/>
        <w:ind w:left="0" w:right="3226" w:firstLine="0"/>
        <w:jc w:val="right"/>
      </w:pPr>
      <w:r>
        <w:rPr>
          <w:rFonts w:ascii="TimesNewRomanPS" w:hAnsi="TimesNewRomanPS" w:eastAsia="TimesNewRomanPS"/>
          <w:b/>
          <w:i w:val="0"/>
          <w:color w:val="020404"/>
          <w:sz w:val="16"/>
        </w:rPr>
        <w:t>STATEMENT OF LEGAL EFFECT</w:t>
      </w:r>
    </w:p>
    <w:p>
      <w:pPr>
        <w:autoSpaceDN w:val="0"/>
        <w:autoSpaceDE w:val="0"/>
        <w:widowControl/>
        <w:spacing w:line="230" w:lineRule="auto" w:before="320" w:after="0"/>
        <w:ind w:left="15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Clause 2 :  This clause amends section 2 of the Powers of Attorney Ordinance ( Chapter 122) </w:t>
      </w:r>
    </w:p>
    <w:p>
      <w:pPr>
        <w:autoSpaceDN w:val="0"/>
        <w:autoSpaceDE w:val="0"/>
        <w:widowControl/>
        <w:spacing w:line="233" w:lineRule="auto" w:before="72" w:after="0"/>
        <w:ind w:left="1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(hereinafter referred to as the “ principal enactment”) and the legal effect of the section is to introduce </w:t>
      </w:r>
    </w:p>
    <w:p>
      <w:pPr>
        <w:autoSpaceDN w:val="0"/>
        <w:autoSpaceDE w:val="0"/>
        <w:widowControl/>
        <w:spacing w:line="233" w:lineRule="auto" w:before="70" w:after="0"/>
        <w:ind w:left="1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a new procedure for signing of a foreign power of attorney.</w:t>
      </w:r>
    </w:p>
    <w:p>
      <w:pPr>
        <w:autoSpaceDN w:val="0"/>
        <w:autoSpaceDE w:val="0"/>
        <w:widowControl/>
        <w:spacing w:line="230" w:lineRule="auto" w:before="318" w:after="0"/>
        <w:ind w:left="15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3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provide for correction  of the Sinhala version of that section 3D of the </w:t>
      </w:r>
    </w:p>
    <w:p>
      <w:pPr>
        <w:autoSpaceDN w:val="0"/>
        <w:autoSpaceDE w:val="0"/>
        <w:widowControl/>
        <w:spacing w:line="230" w:lineRule="auto" w:before="72" w:after="0"/>
        <w:ind w:left="1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principal enactment.</w:t>
      </w:r>
    </w:p>
    <w:p>
      <w:pPr>
        <w:autoSpaceDN w:val="0"/>
        <w:autoSpaceDE w:val="0"/>
        <w:widowControl/>
        <w:spacing w:line="230" w:lineRule="auto" w:before="320" w:after="0"/>
        <w:ind w:left="15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4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: This clause expands the scope of section 4 of the principal enactment.</w:t>
      </w:r>
    </w:p>
    <w:p>
      <w:pPr>
        <w:autoSpaceDN w:val="0"/>
        <w:autoSpaceDE w:val="0"/>
        <w:widowControl/>
        <w:spacing w:line="230" w:lineRule="auto" w:before="320" w:after="0"/>
        <w:ind w:left="15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5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replaces the Schedule II to the principal enactment and the legal effect </w:t>
      </w:r>
    </w:p>
    <w:p>
      <w:pPr>
        <w:autoSpaceDN w:val="0"/>
        <w:autoSpaceDE w:val="0"/>
        <w:widowControl/>
        <w:spacing w:line="230" w:lineRule="auto" w:before="72" w:after="0"/>
        <w:ind w:left="1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of the amendment is to expand the scope of the Schedule II.</w:t>
      </w:r>
    </w:p>
    <w:p>
      <w:pPr>
        <w:autoSpaceDN w:val="0"/>
        <w:autoSpaceDE w:val="0"/>
        <w:widowControl/>
        <w:spacing w:line="230" w:lineRule="auto" w:before="320" w:after="0"/>
        <w:ind w:left="15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Clause 6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: This clause extend the period of registration of power of attorney which had not </w:t>
      </w:r>
    </w:p>
    <w:p>
      <w:pPr>
        <w:autoSpaceDN w:val="0"/>
        <w:autoSpaceDE w:val="0"/>
        <w:widowControl/>
        <w:spacing w:line="230" w:lineRule="auto" w:before="72" w:after="0"/>
        <w:ind w:left="133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been earlier registered.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64"/>
        <w:ind w:left="0" w:right="0"/>
      </w:pPr>
    </w:p>
    <w:p>
      <w:pPr>
        <w:autoSpaceDN w:val="0"/>
        <w:autoSpaceDE w:val="0"/>
        <w:widowControl/>
        <w:spacing w:line="233" w:lineRule="auto" w:before="0" w:after="0"/>
        <w:ind w:left="0" w:right="353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Powers of  Attorney (Amendment)</w:t>
      </w:r>
    </w:p>
    <w:p>
      <w:pPr>
        <w:autoSpaceDN w:val="0"/>
        <w:autoSpaceDE w:val="0"/>
        <w:widowControl/>
        <w:spacing w:line="230" w:lineRule="auto" w:before="176" w:after="0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L.D.-O. 26/2023</w:t>
      </w:r>
    </w:p>
    <w:p>
      <w:pPr>
        <w:autoSpaceDN w:val="0"/>
        <w:autoSpaceDE w:val="0"/>
        <w:widowControl/>
        <w:spacing w:line="245" w:lineRule="auto" w:before="276" w:after="0"/>
        <w:ind w:left="2304" w:right="288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An act to amend the powers of attorney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Ordinance (chapter 122)</w:t>
      </w:r>
    </w:p>
    <w:p>
      <w:pPr>
        <w:autoSpaceDN w:val="0"/>
        <w:autoSpaceDE w:val="0"/>
        <w:widowControl/>
        <w:spacing w:line="245" w:lineRule="auto" w:before="276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BE it enacted by the Parliament of the Democratic Socialist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Republic of Sri Lanka as follows: -</w:t>
      </w:r>
    </w:p>
    <w:p>
      <w:pPr>
        <w:autoSpaceDN w:val="0"/>
        <w:tabs>
          <w:tab w:pos="2320" w:val="left"/>
          <w:tab w:pos="6720" w:val="left"/>
        </w:tabs>
        <w:autoSpaceDE w:val="0"/>
        <w:widowControl/>
        <w:spacing w:line="245" w:lineRule="auto" w:before="276" w:after="194"/>
        <w:ind w:left="1800" w:right="158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20404"/>
          <w:sz w:val="20"/>
        </w:rPr>
        <w:t>1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. This Act may be cited as the Powers of Attorney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Short title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(Amendment) Act, No.  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0" w:after="0"/>
              <w:ind w:left="0" w:right="12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2" w:after="0"/>
              <w:ind w:left="66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2.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 Section 2 of the Powers of Attorney Ordinance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9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</w:t>
            </w:r>
          </w:p>
        </w:tc>
      </w:tr>
      <w:tr>
        <w:trPr>
          <w:trHeight w:hRule="exact" w:val="4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section 2 of </w:t>
            </w:r>
          </w:p>
        </w:tc>
      </w:tr>
      <w:tr>
        <w:trPr>
          <w:trHeight w:hRule="exact" w:val="158"/>
        </w:trPr>
        <w:tc>
          <w:tcPr>
            <w:tcW w:type="dxa" w:w="3009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(Chapter 122) (hereinafter referred to as the “principal 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Chapter 122</w:t>
            </w:r>
          </w:p>
        </w:tc>
      </w:tr>
      <w:tr>
        <w:trPr>
          <w:trHeight w:hRule="exact" w:val="258"/>
        </w:trPr>
        <w:tc>
          <w:tcPr>
            <w:tcW w:type="dxa" w:w="3009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4" w:after="0"/>
              <w:ind w:left="1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enactment”) is hereby amended in paragraph (b) of the 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4" w:after="12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definition of the expression “power of attorney” thereof, by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the substitution for the words “executed before two witnesses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9"/>
        <w:gridCol w:w="3009"/>
        <w:gridCol w:w="3009"/>
      </w:tblGrid>
      <w:tr>
        <w:trPr>
          <w:trHeight w:hRule="exact" w:val="24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2" w:after="0"/>
              <w:ind w:left="0" w:right="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and an Ambassador” of the words “executed before an 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8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of </w:t>
            </w:r>
          </w:p>
        </w:tc>
      </w:tr>
      <w:tr>
        <w:trPr>
          <w:trHeight w:hRule="exact" w:val="374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Ambassador”.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46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26" w:after="0"/>
              <w:ind w:left="6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3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. Section 3D of the principal enactment is hereby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62" w:after="0"/>
              <w:ind w:left="0" w:right="6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amended by the substitution for the words “shall not execute”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section 3D of </w:t>
            </w:r>
          </w:p>
        </w:tc>
      </w:tr>
      <w:tr>
        <w:trPr>
          <w:trHeight w:hRule="exact" w:val="7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128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4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of the words “shall not execute”.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  <w:tr>
        <w:trPr>
          <w:trHeight w:hRule="exact" w:val="219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62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. Section 4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Amendment </w:t>
            </w:r>
          </w:p>
        </w:tc>
      </w:tr>
      <w:tr>
        <w:trPr>
          <w:trHeight w:hRule="exact" w:val="181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amended by the repeal of paragraph (b) of subsection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section 4 of </w:t>
            </w:r>
          </w:p>
        </w:tc>
      </w:tr>
      <w:tr>
        <w:trPr>
          <w:trHeight w:hRule="exact" w:val="8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(1) thereof, and the substitution therefor of the following</w:t>
            </w:r>
          </w:p>
        </w:tc>
        <w:tc>
          <w:tcPr>
            <w:tcW w:type="dxa" w:w="3009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  <w:tr>
        <w:trPr>
          <w:trHeight w:hRule="exact" w:val="308"/>
        </w:trPr>
        <w:tc>
          <w:tcPr>
            <w:tcW w:type="dxa" w:w="3009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8" w:after="0"/>
              <w:ind w:left="1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paragraph:-</w:t>
            </w:r>
          </w:p>
        </w:tc>
        <w:tc>
          <w:tcPr>
            <w:tcW w:type="dxa" w:w="300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auto" w:before="216" w:after="0"/>
        <w:ind w:left="0" w:right="409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“(b) execute a document –</w:t>
      </w:r>
    </w:p>
    <w:p>
      <w:pPr>
        <w:autoSpaceDN w:val="0"/>
        <w:tabs>
          <w:tab w:pos="3444" w:val="left"/>
          <w:tab w:pos="3728" w:val="left"/>
        </w:tabs>
        <w:autoSpaceDE w:val="0"/>
        <w:widowControl/>
        <w:spacing w:line="232" w:lineRule="exact" w:before="294" w:after="0"/>
        <w:ind w:left="1442" w:right="2304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(i) if it is executed in Sri Lanka before two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witnesses and attested by a notary public;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>or</w:t>
      </w:r>
    </w:p>
    <w:p>
      <w:pPr>
        <w:autoSpaceDN w:val="0"/>
        <w:tabs>
          <w:tab w:pos="3444" w:val="left"/>
          <w:tab w:pos="3728" w:val="left"/>
        </w:tabs>
        <w:autoSpaceDE w:val="0"/>
        <w:widowControl/>
        <w:spacing w:line="248" w:lineRule="exact" w:before="248" w:after="0"/>
        <w:ind w:left="1442" w:right="230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(ii) if it is executed outside Sri Lanka before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an Ambassador, or a High Commissioner, </w:t>
      </w:r>
      <w:r>
        <w:rPr>
          <w:rFonts w:ascii="MinionPro" w:hAnsi="MinionPro" w:eastAsia="MinionPro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or a Diplomatic Officer or a Consular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Officer within the meaning of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>Consular Functions Act, No.4 of 1981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4"/>
        <w:ind w:left="0" w:right="0"/>
      </w:pPr>
    </w:p>
    <w:p>
      <w:pPr>
        <w:autoSpaceDN w:val="0"/>
        <w:tabs>
          <w:tab w:pos="2844" w:val="left"/>
        </w:tabs>
        <w:autoSpaceDE w:val="0"/>
        <w:widowControl/>
        <w:spacing w:line="324" w:lineRule="exact" w:before="0" w:after="0"/>
        <w:ind w:left="1706" w:right="0" w:firstLine="0"/>
        <w:jc w:val="left"/>
      </w:pPr>
      <w:r>
        <w:rPr>
          <w:rFonts w:ascii="MinionPro" w:hAnsi="MinionPro" w:eastAsia="MinionPro"/>
          <w:b w:val="0"/>
          <w:i w:val="0"/>
          <w:color w:val="221F1F"/>
          <w:sz w:val="24"/>
        </w:rPr>
        <w:t xml:space="preserve">2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>Powers of  Attorney (Amendment)</w:t>
      </w:r>
    </w:p>
    <w:p>
      <w:pPr>
        <w:autoSpaceDN w:val="0"/>
        <w:autoSpaceDE w:val="0"/>
        <w:widowControl/>
        <w:spacing w:line="274" w:lineRule="auto" w:before="116" w:after="24"/>
        <w:ind w:left="3634" w:right="2474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or a person who is authorized to attest a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power of attorney according to the law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of that country,declaring his intention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 xml:space="preserve">of revoking or cancelling the power of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3"/>
        <w:gridCol w:w="4513"/>
      </w:tblGrid>
      <w:tr>
        <w:trPr>
          <w:trHeight w:hRule="exact" w:val="49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4" w:after="0"/>
              <w:ind w:left="0" w:right="1046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6" w:after="0"/>
              <w:ind w:left="1074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8"/>
              </w:rPr>
              <w:t xml:space="preserve">attorney or expressing his intention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8"/>
              </w:rPr>
              <w:t xml:space="preserve">to act under that power of attorney, as the </w:t>
            </w:r>
          </w:p>
        </w:tc>
      </w:tr>
    </w:tbl>
    <w:p>
      <w:pPr>
        <w:autoSpaceDN w:val="0"/>
        <w:autoSpaceDE w:val="0"/>
        <w:widowControl/>
        <w:spacing w:line="230" w:lineRule="auto" w:before="24" w:after="220"/>
        <w:ind w:left="0" w:right="402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8"/>
        </w:rPr>
        <w:t>case may be; and”;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9"/>
        <w:gridCol w:w="3009"/>
        <w:gridCol w:w="3009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96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0" w:after="0"/>
              <w:ind w:left="6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The Schedule II of the principal enactment is hereby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9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Replacement </w:t>
            </w:r>
          </w:p>
        </w:tc>
      </w:tr>
      <w:tr>
        <w:trPr>
          <w:trHeight w:hRule="exact" w:val="240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8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repealed and following Schedule is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3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of the </w:t>
            </w:r>
          </w:p>
        </w:tc>
      </w:tr>
      <w:tr>
        <w:trPr>
          <w:trHeight w:hRule="exact" w:val="182"/>
        </w:trPr>
        <w:tc>
          <w:tcPr>
            <w:tcW w:type="dxa" w:w="3009"/>
            <w:vMerge/>
            <w:tcBorders/>
          </w:tcPr>
          <w:p/>
        </w:tc>
        <w:tc>
          <w:tcPr>
            <w:tcW w:type="dxa" w:w="4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94" w:after="0"/>
              <w:ind w:left="0" w:right="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(sections 3(3) and 5)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Schedule II of </w:t>
            </w:r>
          </w:p>
        </w:tc>
      </w:tr>
      <w:tr>
        <w:trPr>
          <w:trHeight w:hRule="exact" w:val="198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2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principal </w:t>
            </w:r>
          </w:p>
        </w:tc>
      </w:tr>
      <w:tr>
        <w:trPr>
          <w:trHeight w:hRule="exact" w:val="252"/>
        </w:trPr>
        <w:tc>
          <w:tcPr>
            <w:tcW w:type="dxa" w:w="3009"/>
            <w:vMerge/>
            <w:tcBorders/>
          </w:tcPr>
          <w:p/>
        </w:tc>
        <w:tc>
          <w:tcPr>
            <w:tcW w:type="dxa" w:w="3009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1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0" w:lineRule="auto" w:before="158" w:after="238"/>
        <w:ind w:left="0" w:right="430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SCHEDULE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3"/>
        <w:gridCol w:w="4513"/>
      </w:tblGrid>
      <w:tr>
        <w:trPr>
          <w:trHeight w:hRule="exact" w:val="5328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1092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8" w:lineRule="exact" w:before="1236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70" w:lineRule="exact" w:before="1000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70" w:lineRule="exact" w:before="942" w:after="0"/>
              <w:ind w:left="0" w:right="48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1.99999999999989" w:type="dxa"/>
            </w:tblPr>
            <w:tblGrid>
              <w:gridCol w:w="2047"/>
              <w:gridCol w:w="2047"/>
              <w:gridCol w:w="2047"/>
            </w:tblGrid>
            <w:tr>
              <w:trPr>
                <w:trHeight w:hRule="exact" w:val="336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1.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Serial No.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4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2.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Date of Registration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4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26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3.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26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Description of the power of attorney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4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26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4.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26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Name and address of the grantor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6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5.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Name and address of the attorney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334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6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6.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6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Date of power of attorney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6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28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7.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56" w:after="0"/>
                    <w:ind w:left="70" w:right="288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By whom the power of attorney is </w:t>
                  </w: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produced for the registration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8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8.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54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Volume and Folio where the true copy </w:t>
                  </w: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of the power of attorney is filed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6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6" w:after="0"/>
                    <w:ind w:left="76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9.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52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Date and number of the document of </w:t>
                  </w: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revocation or cancellation 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8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10.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56" w:after="0"/>
                    <w:ind w:left="70" w:right="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By whom the document of revocation </w:t>
                  </w: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or cancellation given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506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8" w:after="0"/>
                    <w:ind w:left="0" w:right="0" w:firstLine="0"/>
                    <w:jc w:val="center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11.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54" w:after="0"/>
                    <w:ind w:left="70" w:right="144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Date of registration of the document </w:t>
                  </w: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of revocation or cancellation 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702"/>
              </w:trPr>
              <w:tc>
                <w:tcPr>
                  <w:tcW w:type="dxa" w:w="452"/>
                  <w:tcBorders>
                    <w:start w:sz="4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4" w:lineRule="exact" w:before="26" w:after="0"/>
                    <w:ind w:left="0" w:right="0" w:firstLine="0"/>
                    <w:jc w:val="center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12.</w:t>
                  </w:r>
                </w:p>
              </w:tc>
              <w:tc>
                <w:tcPr>
                  <w:tcW w:type="dxa" w:w="2944"/>
                  <w:tcBorders>
                    <w:start w:sz="8.0" w:val="single" w:color="#221F1F"/>
                    <w:top w:sz="4.0" w:val="single" w:color="#221F1F"/>
                    <w:end w:sz="8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16" w:lineRule="exact" w:before="54" w:after="0"/>
                    <w:ind w:left="70" w:right="720" w:firstLine="0"/>
                    <w:jc w:val="left"/>
                  </w:pP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Volume and Folio where the </w:t>
                  </w: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 xml:space="preserve">document of revocation or </w:t>
                  </w:r>
                  <w:r>
                    <w:rPr>
                      <w:rFonts w:ascii="MinionPro" w:hAnsi="MinionPro" w:eastAsia="MinionPro"/>
                      <w:b w:val="0"/>
                      <w:i w:val="0"/>
                      <w:color w:val="221F1F"/>
                      <w:sz w:val="18"/>
                    </w:rPr>
                    <w:t>cancellation is registered</w:t>
                  </w:r>
                </w:p>
              </w:tc>
              <w:tc>
                <w:tcPr>
                  <w:tcW w:type="dxa" w:w="1382"/>
                  <w:tcBorders>
                    <w:start w:sz="8.0" w:val="single" w:color="#221F1F"/>
                    <w:top w:sz="4.0" w:val="single" w:color="#221F1F"/>
                    <w:end w:sz="4.0" w:val="single" w:color="#221F1F"/>
                    <w:bottom w:sz="4.0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4"/>
        <w:ind w:left="0" w:right="0"/>
      </w:pPr>
    </w:p>
    <w:p>
      <w:pPr>
        <w:autoSpaceDN w:val="0"/>
        <w:tabs>
          <w:tab w:pos="6484" w:val="left"/>
        </w:tabs>
        <w:autoSpaceDE w:val="0"/>
        <w:widowControl/>
        <w:spacing w:line="200" w:lineRule="exact" w:before="0" w:after="0"/>
        <w:ind w:left="293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Powers of  Attorney (Amendment) </w:t>
      </w:r>
      <w:r>
        <w:rPr>
          <w:rFonts w:ascii="MinionPro" w:hAnsi="MinionPro" w:eastAsia="MinionPro"/>
          <w:b w:val="0"/>
          <w:i w:val="0"/>
          <w:color w:val="221F1F"/>
          <w:sz w:val="24"/>
        </w:rPr>
        <w:t>3</w:t>
      </w:r>
    </w:p>
    <w:p>
      <w:pPr>
        <w:autoSpaceDN w:val="0"/>
        <w:autoSpaceDE w:val="0"/>
        <w:widowControl/>
        <w:spacing w:line="262" w:lineRule="auto" w:before="112" w:after="20"/>
        <w:ind w:left="1800" w:right="1584" w:firstLine="566"/>
        <w:jc w:val="left"/>
      </w:pPr>
      <w:r>
        <w:rPr>
          <w:rFonts w:ascii="TimesNewRomanPS" w:hAnsi="TimesNewRomanPS" w:eastAsia="TimesNewRomanPS"/>
          <w:b/>
          <w:i w:val="0"/>
          <w:color w:val="020404"/>
          <w:sz w:val="20"/>
        </w:rPr>
        <w:t>6.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(1) Notwithstanding the provisions of paragraph (a)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 xml:space="preserve">Validation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subsection (1), and subsection (2) of section 8 of the Powers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Attorney (Amendment) Act, No. 28 of 2022, every power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of attorney executed prior to October 25, 2022 and which has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3"/>
        <w:gridCol w:w="4513"/>
      </w:tblGrid>
      <w:tr>
        <w:trPr>
          <w:trHeight w:hRule="exact" w:val="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4" w:after="0"/>
              <w:ind w:left="0" w:right="92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0" w:after="0"/>
              <w:ind w:left="10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not been registered on or prior to the date of commencement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this Act shall be deemed to be valid for a period of two years </w:t>
            </w:r>
          </w:p>
        </w:tc>
      </w:tr>
    </w:tbl>
    <w:p>
      <w:pPr>
        <w:autoSpaceDN w:val="0"/>
        <w:autoSpaceDE w:val="0"/>
        <w:widowControl/>
        <w:spacing w:line="250" w:lineRule="auto" w:before="20" w:after="0"/>
        <w:ind w:left="1800" w:right="23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from October 25, 2022, and be submitted for registration to </w:t>
      </w: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the Registrar General within such period of two years.</w:t>
      </w:r>
    </w:p>
    <w:p>
      <w:pPr>
        <w:autoSpaceDN w:val="0"/>
        <w:autoSpaceDE w:val="0"/>
        <w:widowControl/>
        <w:spacing w:line="230" w:lineRule="auto" w:before="300" w:after="18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 xml:space="preserve"> (2)  Every power of attorney referred to in subsection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3"/>
        <w:gridCol w:w="4513"/>
      </w:tblGrid>
      <w:tr>
        <w:trPr>
          <w:trHeight w:hRule="exact" w:val="522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0" w:after="0"/>
              <w:ind w:left="0" w:right="64" w:firstLine="0"/>
              <w:jc w:val="right"/>
            </w:pPr>
            <w:r>
              <w:rPr>
                <w:rFonts w:ascii="MinionPro" w:hAnsi="MinionPro" w:eastAsia="MinionPro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2" w:after="0"/>
              <w:ind w:left="8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(1) which is not submitted for registration within the period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specified in that subsection, shall be deemed to be null and </w:t>
            </w:r>
          </w:p>
        </w:tc>
      </w:tr>
    </w:tbl>
    <w:p>
      <w:pPr>
        <w:autoSpaceDN w:val="0"/>
        <w:autoSpaceDE w:val="0"/>
        <w:widowControl/>
        <w:spacing w:line="230" w:lineRule="auto" w:before="20" w:after="492"/>
        <w:ind w:left="180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20"/>
        </w:rPr>
        <w:t>void, with effect from the date of expiration of that period.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3"/>
        <w:gridCol w:w="4513"/>
      </w:tblGrid>
      <w:tr>
        <w:trPr>
          <w:trHeight w:hRule="exact" w:val="650"/>
        </w:trPr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20" w:val="left"/>
              </w:tabs>
              <w:autoSpaceDE w:val="0"/>
              <w:widowControl/>
              <w:spacing w:line="250" w:lineRule="auto" w:before="68" w:after="0"/>
              <w:ind w:left="900" w:right="0" w:firstLine="0"/>
              <w:jc w:val="left"/>
            </w:pP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20404"/>
                <w:sz w:val="20"/>
              </w:rPr>
              <w:t>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 xml:space="preserve">. In the event of any inconsistency between the Sinhala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20"/>
              </w:rPr>
              <w:t>and Tamil texts of this Act, the Sinhala text shall prevail.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40" w:right="72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Sinhala text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to prevail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20404"/>
                <w:sz w:val="16"/>
              </w:rPr>
              <w:t xml:space="preserve">the case of </w:t>
            </w:r>
          </w:p>
        </w:tc>
      </w:tr>
    </w:tbl>
    <w:p>
      <w:pPr>
        <w:autoSpaceDN w:val="0"/>
        <w:autoSpaceDE w:val="0"/>
        <w:widowControl/>
        <w:spacing w:line="233" w:lineRule="auto" w:before="10" w:after="0"/>
        <w:ind w:left="0" w:right="14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inconsistency</w:t>
      </w:r>
    </w:p>
    <w:p>
      <w:pPr>
        <w:sectPr>
          <w:pgSz w:w="11906" w:h="16838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76"/>
        <w:ind w:left="0" w:right="0"/>
      </w:pPr>
    </w:p>
    <w:p>
      <w:pPr>
        <w:autoSpaceDN w:val="0"/>
        <w:autoSpaceDE w:val="0"/>
        <w:widowControl/>
        <w:spacing w:line="244" w:lineRule="exact" w:before="56" w:after="0"/>
        <w:ind w:left="0" w:right="2716" w:firstLine="0"/>
        <w:jc w:val="right"/>
      </w:pPr>
      <w:r>
        <w:rPr>
          <w:rFonts w:ascii="MinionPro" w:hAnsi="MinionPro" w:eastAsia="MinionPro"/>
          <w:b w:val="0"/>
          <w:i w:val="0"/>
          <w:color w:val="221F1F"/>
          <w:sz w:val="18"/>
        </w:rPr>
        <w:t>Printed at the Department of  Government Printing</w:t>
      </w:r>
    </w:p>
    <w:sectPr w:rsidR="00FC693F" w:rsidRPr="0006063C" w:rsidSect="00034616">
      <w:pgSz w:w="11906" w:h="16838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