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MALAIYAGHA STUDENT HIGHER  EDUCATION </w:t>
      </w:r>
      <w:r>
        <w:rPr>
          <w:rFonts w:ascii="Times,Bold" w:hAnsi="Times,Bold" w:eastAsia="Times,Bold"/>
          <w:b/>
          <w:i w:val="0"/>
          <w:color w:val="221F1F"/>
          <w:sz w:val="28"/>
        </w:rPr>
        <w:t>FUND (INCORPORATION)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 incorporate  the  Malaiyagha Student Higher Education Fund</w:t>
      </w:r>
    </w:p>
    <w:p>
      <w:pPr>
        <w:autoSpaceDN w:val="0"/>
        <w:autoSpaceDE w:val="0"/>
        <w:widowControl/>
        <w:spacing w:line="235" w:lineRule="auto" w:before="22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5" w:lineRule="auto" w:before="2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Velu Kumar, M.P.</w:t>
      </w:r>
    </w:p>
    <w:p>
      <w:pPr>
        <w:autoSpaceDN w:val="0"/>
        <w:autoSpaceDE w:val="0"/>
        <w:widowControl/>
        <w:spacing w:line="235" w:lineRule="auto" w:before="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Mahanuwara District on 04th of December, 2023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24, 2023)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219]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Malaiyagha Student Higher Education Fund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2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ALAIYAGHA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TUDENT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59" w:lineRule="auto" w:before="282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NewYork" w:hAnsi="NewYork" w:eastAsia="NewYork"/>
          <w:b w:val="0"/>
          <w:i w:val="0"/>
          <w:color w:val="221F1F"/>
          <w:sz w:val="16"/>
        </w:rPr>
        <w:t>Malaiyagha Student Higher Education 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heretofore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subjects and matters  connected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foundation according to the rules agreed by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9" w:lineRule="auto" w:before="28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objects and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it was formed and has applied to  incorporated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 will be for the public advantage to grant the application:</w:t>
      </w:r>
    </w:p>
    <w:p>
      <w:pPr>
        <w:autoSpaceDN w:val="0"/>
        <w:autoSpaceDE w:val="0"/>
        <w:widowControl/>
        <w:spacing w:line="252" w:lineRule="auto" w:before="27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</w:t>
            </w: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Malaiyagha Student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222"/>
        <w:ind w:left="1796" w:right="0" w:firstLine="0"/>
        <w:jc w:val="left"/>
      </w:pPr>
      <w:r>
        <w:rPr>
          <w:rFonts w:ascii="NewYork" w:hAnsi="NewYork" w:eastAsia="NewYork"/>
          <w:b w:val="0"/>
          <w:i w:val="0"/>
          <w:color w:val="221F1F"/>
          <w:sz w:val="16"/>
        </w:rPr>
        <w:t>Higher Education Fund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(Incorporation)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commencement of this Act, such and so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many persons as are members of the Corporation “</w:t>
            </w: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Malaiyagha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Malaiyagha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Student Higher Education 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Student</w:t>
            </w:r>
          </w:p>
        </w:tc>
      </w:tr>
      <w:tr>
        <w:trPr>
          <w:trHeight w:hRule="exact" w:val="2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“Fund”) or shall hereafter be admitted as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Higher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hereby constituted shall be a body corporate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perpetual succession under the name and style of </w:t>
            </w:r>
            <w:r>
              <w:rPr>
                <w:rFonts w:ascii="NewYork" w:hAnsi="NewYork" w:eastAsia="NewYork"/>
                <w:b w:val="0"/>
                <w:i w:val="0"/>
                <w:color w:val="221F1F"/>
                <w:sz w:val="16"/>
              </w:rPr>
              <w:t>‘‘Malaiyagha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6" w:after="222"/>
        <w:ind w:left="1796" w:right="2422" w:firstLine="0"/>
        <w:jc w:val="both"/>
      </w:pPr>
      <w:r>
        <w:rPr>
          <w:rFonts w:ascii="NewYork" w:hAnsi="NewYork" w:eastAsia="NewYork"/>
          <w:b w:val="0"/>
          <w:i w:val="0"/>
          <w:color w:val="221F1F"/>
          <w:sz w:val="16"/>
        </w:rPr>
        <w:t>Student Higher Education Fund’’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authority to have and use a common seal </w:t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Fund is constituted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hereby declared to be:—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finacial assistance to the students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are selected for university and who continue their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72" w:after="24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learning activities by paying attention to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requirements and providing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higher education among malaiyagha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students by designing and implementing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to strengthen their interest in pursuing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higher education;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awareness programs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malaiyagha students on the importance of higher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increase 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enrollments;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awareness among the malaiyagha students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persuaing technical and vocational education,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eliminate ambiguity and to provide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to the students who are pursuing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courses ; and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8" w:after="21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financial assistance to the malaiyagha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studensts to pursue hinger edcucation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of the affairs of the Corporation shall, subject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other provisions of this Act and the rules in force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being of the corporation be administered by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of Management consisting of Chairman,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members not more than eleven,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elected in accordance with such rules.</w:t>
      </w:r>
    </w:p>
    <w:p>
      <w:pPr>
        <w:autoSpaceDN w:val="0"/>
        <w:autoSpaceDE w:val="0"/>
        <w:widowControl/>
        <w:spacing w:line="269" w:lineRule="auto" w:before="298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218"/>
        <w:ind w:left="237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6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8" w:lineRule="auto" w:before="26" w:after="266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and to engage,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 and dismiss officers and servants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6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 thirds of the members present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on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 and the admission,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3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6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the resignation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bearers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 of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 and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term of the members;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conduct, duties and function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4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</w:t>
            </w:r>
          </w:p>
        </w:tc>
      </w:tr>
    </w:tbl>
    <w:p>
      <w:pPr>
        <w:autoSpaceDN w:val="0"/>
        <w:autoSpaceDE w:val="0"/>
        <w:widowControl/>
        <w:spacing w:line="262" w:lineRule="auto" w:before="2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summoning and holding of meetings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or sub Committee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time, places,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thereof and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administrations and management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of the Corporation, the custody of its funds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property of the Corporation, the custody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funds and the maintenance and audit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the management of the affairs of the Corporation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 replaced at a like  manner as a rule may </w:t>
      </w:r>
      <w:r>
        <w:rPr>
          <w:rFonts w:ascii="Times" w:hAnsi="Times" w:eastAsia="Times"/>
          <w:b w:val="0"/>
          <w:i w:val="0"/>
          <w:color w:val="000000"/>
          <w:sz w:val="20"/>
        </w:rPr>
        <w:t>be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members of the Corporation shall be subject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Foundatin 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 this Act, shall be paid and discharg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Corporation hereby constituted and all debts due to,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subscriptions and contributions payable to the foundation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that date shall be paid to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heretofore or hereafter to be received by way of  gifts,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testamentary dispositions, donations,  subscription,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fees or grants for and on account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be deposited to the credit of the Corporaction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one or more banks as the Corporation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shall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There shall be paid out of the fund, all sums of 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defray and expenditure incurred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power, duties and funcatin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6"/>
        <w:ind w:left="237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testamentary, disposition or otherwise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property shall be held by the Corporation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and subject to the rules in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of the Corporation,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whatsover, such property shall not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which, is or are by its their rules prohibited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30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its income and expenditure, assets and liabilities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all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Audited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once Annually by the Auditor - General or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 appointed by the Auditor - General in terms of 154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constitution.</w:t>
      </w:r>
    </w:p>
    <w:p>
      <w:pPr>
        <w:autoSpaceDN w:val="0"/>
        <w:autoSpaceDE w:val="0"/>
        <w:widowControl/>
        <w:spacing w:line="235" w:lineRule="auto" w:before="25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In this section “qualified auditor” means—</w:t>
      </w:r>
    </w:p>
    <w:p>
      <w:pPr>
        <w:autoSpaceDN w:val="0"/>
        <w:tabs>
          <w:tab w:pos="2352" w:val="left"/>
          <w:tab w:pos="275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Malaiyagha Student Higher Education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662" w:val="left"/>
        </w:tabs>
        <w:autoSpaceDE w:val="0"/>
        <w:widowControl/>
        <w:spacing w:line="247" w:lineRule="auto" w:before="254" w:after="8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Institute established by law, possesses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Accountant, issued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Council of such Institute.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expect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membrers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persons, except such as are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Malaiyagha Student Higher Education Fund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8" w:after="0"/>
        <w:ind w:left="0" w:right="3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