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9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01, 2023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05.12.2023)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82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DAHAM SEWANE SINGITHTHO LAMA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SANWARDANA PADANAMA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12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8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3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Daham Sewane Singiththo Lama Sanwardana Padanama</w:t>
      </w:r>
    </w:p>
    <w:p>
      <w:pPr>
        <w:autoSpaceDN w:val="0"/>
        <w:autoSpaceDE w:val="0"/>
        <w:widowControl/>
        <w:spacing w:line="245" w:lineRule="auto" w:before="174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Gamini Lokuge,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45" w:lineRule="auto" w:before="2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Daham Sewane Singiththo Lama Sanwardana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autoSpaceDE w:val="0"/>
        <w:widowControl/>
        <w:spacing w:line="264" w:lineRule="auto" w:before="28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EWANE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INGITHTHO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AMA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ANWARDANA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ADANAMA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4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WHEREAS a foundation called and known as the “Daham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81" w:lineRule="auto" w:before="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Sewane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Singiththo Lama Sanwardana Padanama” has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heretofore been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formed in Sri Lanka for the purpose of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effectually carrying out its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objects and transacting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matters connected with the said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Foundation according to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 rules agree to by its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81" w:lineRule="auto" w:before="53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AND WHEREAS the said Foundation has hereafter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successfully carried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matters for which it was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be incorporated and it will be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expedient for the public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advantage to grant the said application:</w:t>
      </w:r>
    </w:p>
    <w:p>
      <w:pPr>
        <w:autoSpaceDN w:val="0"/>
        <w:autoSpaceDE w:val="0"/>
        <w:widowControl/>
        <w:spacing w:line="264" w:lineRule="auto" w:before="452" w:after="27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C3734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Daham Sewane Singiththo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Lama Sanwardana Padanama  (Incorporation) Act, No.  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27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“Daham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Daham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Sewane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Sewane Singiththo Lama Sanwardana Padanama”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Singiththo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“Foundation”)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Lama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Sanwardana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Padanama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81" w:lineRule="auto" w:before="1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corporate,  with perpetual succession, under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“Daham Sewane Singiththo Lama Sanwardana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Padanama” (hereinafter referred to as the “Corporation”)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that name may sue and be sued, with full power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12" w:val="left"/>
          <w:tab w:pos="299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autoSpaceDE w:val="0"/>
        <w:widowControl/>
        <w:spacing w:line="264" w:lineRule="auto" w:before="280" w:after="27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 and use a common seal and alter the same as </w:t>
      </w:r>
      <w:r>
        <w:rPr>
          <w:rFonts w:ascii="Times" w:hAnsi="Times" w:eastAsia="Times"/>
          <w:b w:val="0"/>
          <w:i w:val="0"/>
          <w:color w:val="221F1F"/>
          <w:sz w:val="20"/>
        </w:rPr>
        <w:t>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 educating Pre-school children up to University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students by facilitating many Language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opportunities;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78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b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serving Children of all religions together in one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accord in order to develop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Spiritual equal qualities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among all students;</w:t>
      </w:r>
    </w:p>
    <w:p>
      <w:pPr>
        <w:autoSpaceDN w:val="0"/>
        <w:autoSpaceDE w:val="0"/>
        <w:widowControl/>
        <w:spacing w:line="274" w:lineRule="auto" w:before="280" w:after="0"/>
        <w:ind w:left="2422" w:right="2516" w:hanging="374"/>
        <w:jc w:val="both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c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identifying, feeding and educating the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malnourished  and differently abled children in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different communities;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74" w:lineRule="auto" w:before="294" w:after="2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for, and incidental to conducive to the attainment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of 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written law, the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Corporation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perform and execute all such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or desirable for the promotion or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furtherance of the objects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of the Corporation or any one of them, including the power-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29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a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to raise funds and receive grants, gifts or donations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cash or kind;</w:t>
      </w:r>
    </w:p>
    <w:p>
      <w:pPr>
        <w:autoSpaceDN w:val="0"/>
        <w:tabs>
          <w:tab w:pos="2078" w:val="left"/>
          <w:tab w:pos="2422" w:val="left"/>
          <w:tab w:pos="2424" w:val="left"/>
        </w:tabs>
        <w:autoSpaceDE w:val="0"/>
        <w:widowControl/>
        <w:spacing w:line="276" w:lineRule="auto" w:before="33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b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to acquire, in any manner whatsoever and hold,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take or give on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leave or hire, sell or otherwise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dispose of, any movable or</w:t>
      </w:r>
      <w:r>
        <w:rPr>
          <w:rFonts w:ascii="Times" w:hAnsi="Times" w:eastAsia="Times"/>
          <w:b w:val="0"/>
          <w:i w:val="0"/>
          <w:color w:val="2B3533"/>
          <w:sz w:val="20"/>
        </w:rPr>
        <w:t>immovable property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6" w:val="left"/>
          <w:tab w:pos="6494" w:val="left"/>
        </w:tabs>
        <w:autoSpaceDE w:val="0"/>
        <w:widowControl/>
        <w:spacing w:line="245" w:lineRule="auto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autoSpaceDE w:val="0"/>
        <w:widowControl/>
        <w:spacing w:line="274" w:lineRule="auto" w:before="28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>and construct, maintain and alter any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building or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works necessary or convenient for business of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the</w:t>
      </w:r>
      <w:r>
        <w:rPr>
          <w:rFonts w:ascii="Times" w:hAnsi="Times" w:eastAsia="Times"/>
          <w:b w:val="0"/>
          <w:i w:val="0"/>
          <w:color w:val="2B3533"/>
          <w:sz w:val="20"/>
        </w:rPr>
        <w:t>Corporation;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83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c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buy, sell and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issue bills of exchange, cheques,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promissory notes and other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negotiable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instruments and to open, operate and close bank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accounts and borrow or raise money with 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without security;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74" w:lineRule="auto" w:before="35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to invest any funds not immediately required for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the purpose of the Corporation in such manner as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the Board of Management may determine;</w:t>
      </w:r>
    </w:p>
    <w:p>
      <w:pPr>
        <w:autoSpaceDN w:val="0"/>
        <w:tabs>
          <w:tab w:pos="2186" w:val="left"/>
          <w:tab w:pos="2516" w:val="left"/>
          <w:tab w:pos="2518" w:val="left"/>
        </w:tabs>
        <w:autoSpaceDE w:val="0"/>
        <w:widowControl/>
        <w:spacing w:line="283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to enter into agreement or contracts with any person,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or body of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persons whether incorporated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Lanka or abroad or with any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Department, Corporation, Board, Provincial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Council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or Local Authority for the achievement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of the objects of the Corporation</w:t>
      </w:r>
      <w:r>
        <w:rPr>
          <w:rFonts w:ascii="Times" w:hAnsi="Times" w:eastAsia="Times"/>
          <w:b w:val="0"/>
          <w:i w:val="0"/>
          <w:color w:val="F37F7E"/>
          <w:sz w:val="20"/>
        </w:rPr>
        <w:t>;</w:t>
      </w:r>
    </w:p>
    <w:p>
      <w:pPr>
        <w:autoSpaceDN w:val="0"/>
        <w:autoSpaceDE w:val="0"/>
        <w:widowControl/>
        <w:spacing w:line="238" w:lineRule="auto" w:before="33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f</w:t>
      </w:r>
      <w:r>
        <w:rPr>
          <w:rFonts w:ascii="Times" w:hAnsi="Times" w:eastAsia="Times"/>
          <w:b w:val="0"/>
          <w:i w:val="0"/>
          <w:color w:val="2B3533"/>
          <w:sz w:val="20"/>
        </w:rPr>
        <w:t>) to determine the fees to be paid in request of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registration of different categories of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membership; and</w:t>
      </w:r>
    </w:p>
    <w:p>
      <w:pPr>
        <w:autoSpaceDN w:val="0"/>
        <w:autoSpaceDE w:val="0"/>
        <w:widowControl/>
        <w:spacing w:line="274" w:lineRule="auto" w:before="294" w:after="28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g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appoint, employ, dismiss or terminate the services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of officers and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servants of the Corporation and to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pay them such salaries,</w:t>
      </w:r>
      <w:r>
        <w:rPr>
          <w:rFonts w:ascii="Times" w:hAnsi="Times" w:eastAsia="Times"/>
          <w:b w:val="0"/>
          <w:i w:val="0"/>
          <w:color w:val="2B3533"/>
          <w:sz w:val="20"/>
        </w:rPr>
        <w:t>allowances and gratuities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as may be determined by the 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(1) The affairs of the Corporation shall, subject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the other provinces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of this Act and the rules in force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time being of the Corporation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be administered by a Board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12" w:val="left"/>
          <w:tab w:pos="299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autoSpaceDE w:val="0"/>
        <w:widowControl/>
        <w:spacing w:line="252" w:lineRule="auto" w:before="25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 xml:space="preserve">Directors consisting of the Director-General, the Deputy </w:t>
      </w:r>
      <w:r>
        <w:rPr>
          <w:rFonts w:ascii="Times" w:hAnsi="Times" w:eastAsia="Times"/>
          <w:b w:val="0"/>
          <w:i w:val="0"/>
          <w:color w:val="2B3533"/>
          <w:sz w:val="20"/>
        </w:rPr>
        <w:t>Chairman, the Secretary, Deputy Secretary and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Treasurer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not less than seven other members elected in </w:t>
      </w:r>
      <w:r>
        <w:rPr>
          <w:rFonts w:ascii="Times" w:hAnsi="Times" w:eastAsia="Times"/>
          <w:b w:val="0"/>
          <w:i w:val="0"/>
          <w:color w:val="2B3533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34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(2) The Board of Directors of the Corporation shall consist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of the members of the Board of Directors of the day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(1) It shall be lawful for the Corporation,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to time, at any general meeting and by the votes not less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than two-thirds of the members present and voting, to make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rules, not inconsistence with the provisions of this Act 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any other written law, for the admission, withdrawal 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expulsion of members, the election of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Management, for the conduct of the duties of the office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bearers, agents, officers and servants of the Corporation, for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the procedure to be followed in the transaction of business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by the Corporation and Board of Management and generally,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for the management of the affairs of the Corporation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accomplishment of its objects. Such rules when made may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as a like meeting and in like manner, be altered, added to,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amended or rescinded.</w:t>
      </w:r>
    </w:p>
    <w:p>
      <w:pPr>
        <w:autoSpaceDN w:val="0"/>
        <w:tabs>
          <w:tab w:pos="2142" w:val="left"/>
        </w:tabs>
        <w:autoSpaceDE w:val="0"/>
        <w:widowControl/>
        <w:spacing w:line="247" w:lineRule="auto" w:before="264" w:after="16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B3533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E3836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 xml:space="preserve"> (1)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>The Corporation shall have its own fund.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>moneys received by</w:t>
            </w: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>way of gifts, bequests, donations, transfers,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2"/>
        <w:jc w:val="both"/>
      </w:pPr>
      <w:r>
        <w:rPr>
          <w:rFonts w:ascii="Times" w:hAnsi="Times" w:eastAsia="Times"/>
          <w:b w:val="0"/>
          <w:i w:val="0"/>
          <w:color w:val="2E3836"/>
          <w:sz w:val="20"/>
        </w:rPr>
        <w:t>subscriptions,</w:t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contributions, or fees shall be deposited to </w:t>
      </w:r>
      <w:r>
        <w:rPr>
          <w:rFonts w:ascii="Times" w:hAnsi="Times" w:eastAsia="Times"/>
          <w:b w:val="0"/>
          <w:i w:val="0"/>
          <w:color w:val="2E3836"/>
          <w:sz w:val="20"/>
        </w:rPr>
        <w:t>the credit of the</w:t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Corporation in one or more banks as the </w:t>
      </w:r>
      <w:r>
        <w:rPr>
          <w:rFonts w:ascii="Times" w:hAnsi="Times" w:eastAsia="Times"/>
          <w:b w:val="0"/>
          <w:i w:val="0"/>
          <w:color w:val="2E3836"/>
          <w:sz w:val="20"/>
        </w:rPr>
        <w:t>Board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(2) There shall be paid out of the fund of the Corporation,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all such of money as may be required to defray any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>expenditure incurred by the Corporation in carrying out the</w:t>
      </w:r>
    </w:p>
    <w:p>
      <w:pPr>
        <w:autoSpaceDN w:val="0"/>
        <w:autoSpaceDE w:val="0"/>
        <w:widowControl/>
        <w:spacing w:line="238" w:lineRule="auto" w:before="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E3836"/>
          <w:sz w:val="20"/>
        </w:rPr>
        <w:t>objects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6" w:val="left"/>
          <w:tab w:pos="6494" w:val="left"/>
        </w:tabs>
        <w:autoSpaceDE w:val="0"/>
        <w:widowControl/>
        <w:spacing w:line="245" w:lineRule="auto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280" w:after="28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promotion of the objects as set forth herein and no portion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way of dividend, bonus or otherwise, to any member of the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71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E3836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 xml:space="preserve"> (1) The financial year of the Corporation shall be the </w:t>
            </w:r>
            <w:r>
              <w:rPr>
                <w:rFonts w:ascii="Times" w:hAnsi="Times" w:eastAsia="Times"/>
                <w:b w:val="0"/>
                <w:i w:val="0"/>
                <w:color w:val="2E3836"/>
                <w:sz w:val="20"/>
              </w:rPr>
              <w:t>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30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kept of income and expenditure, assets and liabilities and </w:t>
      </w: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>all other transitions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71" w:lineRule="auto" w:before="36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E3836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E3836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362" w:after="29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(4) ln this section, ‘qualified auditor’ means:-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B3533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an individual who being a member of the</w:t>
            </w:r>
          </w:p>
        </w:tc>
      </w:tr>
    </w:tbl>
    <w:p>
      <w:pPr>
        <w:autoSpaceDN w:val="0"/>
        <w:autoSpaceDE w:val="0"/>
        <w:widowControl/>
        <w:spacing w:line="290" w:lineRule="auto" w:before="32" w:after="3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>lnstitute of Chartered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Accountants of Sri Lanka,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Accountant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B3533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institute; or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93" w:lineRule="auto" w:before="3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partners of which,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being a member of the lnstitute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of Chartered Accountants of Sri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Lanka, or any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certificate to practice as an Accountant issued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by the Council 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12" w:val="left"/>
          <w:tab w:pos="2992" w:val="left"/>
        </w:tabs>
        <w:autoSpaceDE w:val="0"/>
        <w:widowControl/>
        <w:spacing w:line="245" w:lineRule="auto" w:before="0" w:after="222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The Seal of the Corporation shall not be affixed to 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any instrument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whatsoever, expect in the presence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66" w:lineRule="auto" w:before="28" w:after="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Director-General and the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Secretary who shall sign their </w:t>
      </w:r>
      <w:r>
        <w:rPr>
          <w:rFonts w:ascii="Times" w:hAnsi="Times" w:eastAsia="Times"/>
          <w:b w:val="0"/>
          <w:i w:val="0"/>
          <w:color w:val="2B3533"/>
          <w:sz w:val="20"/>
        </w:rPr>
        <w:t>names on the instrument in token of their presence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as 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on the day preceding the date of commencement of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Act, shall be paid by the Corporation hereby constituted,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76" w:lineRule="auto" w:before="22" w:after="28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all debts due to, and subscriptions and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payable to the foundation on that day shall be paid to the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The Corporation shall be able and capable in law,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take and hold any property, movable or immovable, which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may become vested in it by virtue of any purchase, grant,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gift, testamentary disposition or otherwise, and all such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81" w:lineRule="auto" w:before="18" w:after="2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of this Act and subject to the rules in force for the  time being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of the Corporation, with full power to sell, mortgage, lease </w:t>
      </w:r>
      <w:r>
        <w:rPr>
          <w:rFonts w:ascii="Times" w:hAnsi="Times" w:eastAsia="Times"/>
          <w:b w:val="0"/>
          <w:i w:val="0"/>
          <w:color w:val="2B3533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lf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90" w:lineRule="auto" w:before="2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distributed among the members of the Corporation but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shall be given or transferred to some other Foundation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Foundations having objects similar to those of the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Corporation, and which is or are, by its rules thereof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prohibited from distributing any income or property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among its or their members. Such foundation or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foundations shall be determined by the Board at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immediately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0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Daham Sewane Singiththo Lama Sanwardana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220"/>
        <w:ind w:left="0" w:right="3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E3732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 xml:space="preserve"> 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>corporate or of any other person, except such as are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E3732"/>
          <w:sz w:val="20"/>
        </w:rPr>
        <w:t>mentioned in this Act and those claiming by, from or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>them.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E3732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 xml:space="preserve"> ln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E3732"/>
                <w:sz w:val="20"/>
              </w:rPr>
              <w:t>and Tamil texts,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Daham Sewane Singiththo Lama Sanwardana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Padanama (Incorporation)</w:t>
      </w:r>
    </w:p>
    <w:p>
      <w:pPr>
        <w:autoSpaceDN w:val="0"/>
        <w:autoSpaceDE w:val="0"/>
        <w:widowControl/>
        <w:spacing w:line="238" w:lineRule="auto" w:before="888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