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>NOTARIES (AMENDMENT)</w:t>
      </w:r>
    </w:p>
    <w:p>
      <w:pPr>
        <w:autoSpaceDN w:val="0"/>
        <w:autoSpaceDE w:val="0"/>
        <w:widowControl/>
        <w:spacing w:line="238" w:lineRule="auto" w:before="54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253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Notaries Ordinance (Chapter 107)</w:t>
      </w:r>
    </w:p>
    <w:p>
      <w:pPr>
        <w:autoSpaceDN w:val="0"/>
        <w:autoSpaceDE w:val="0"/>
        <w:widowControl/>
        <w:spacing w:line="235" w:lineRule="auto" w:before="230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8" w:lineRule="auto" w:before="222" w:after="0"/>
        <w:ind w:left="0" w:right="24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Justice, Prison Affairs</w:t>
      </w:r>
    </w:p>
    <w:p>
      <w:pPr>
        <w:autoSpaceDN w:val="0"/>
        <w:autoSpaceDE w:val="0"/>
        <w:widowControl/>
        <w:spacing w:line="238" w:lineRule="auto" w:before="46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and Constitutional 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07th of December, 2023</w:t>
      </w:r>
    </w:p>
    <w:p>
      <w:pPr>
        <w:autoSpaceDN w:val="0"/>
        <w:autoSpaceDE w:val="0"/>
        <w:widowControl/>
        <w:spacing w:line="238" w:lineRule="auto" w:before="268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29, 2023)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221]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8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34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190" w:lineRule="exact" w:before="240" w:after="0"/>
        <w:ind w:left="1436" w:right="1342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Clause 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: This clause amends subsection (1A) of section 28 of the Notaries Ordinance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(Chapter 107) (hereinafter referred to as the “principal enactment”) and the legal effect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the section as amended is to cast a duty on the notary to state in the affidavit for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renewal of licence, that he has paid the sum of money due to the Registrar-General.</w:t>
      </w:r>
    </w:p>
    <w:p>
      <w:pPr>
        <w:autoSpaceDN w:val="0"/>
        <w:autoSpaceDE w:val="0"/>
        <w:widowControl/>
        <w:spacing w:line="184" w:lineRule="exact" w:before="208" w:after="0"/>
        <w:ind w:left="1436" w:right="1296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Clause 3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: This clause amends section 31 of the principal enactment and the legal effect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the section as amended is to further enhance the scope of this section.</w:t>
      </w:r>
    </w:p>
    <w:p>
      <w:pPr>
        <w:autoSpaceDN w:val="0"/>
        <w:autoSpaceDE w:val="0"/>
        <w:widowControl/>
        <w:spacing w:line="188" w:lineRule="exact" w:before="204" w:after="0"/>
        <w:ind w:left="1436" w:right="1342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Clause 4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: This clause inserts a new section 38A to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new section is to require a notary to ascertain the true legal nature of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transaction and to explain the same to the executants.</w:t>
      </w:r>
    </w:p>
    <w:p>
      <w:pPr>
        <w:autoSpaceDN w:val="0"/>
        <w:autoSpaceDE w:val="0"/>
        <w:widowControl/>
        <w:spacing w:line="184" w:lineRule="exact" w:before="208" w:after="0"/>
        <w:ind w:left="1436" w:right="1296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Clause 5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: This clause amends the Second Schedule to the principal enactment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introduce a new format for submission of monthly</w:t>
      </w:r>
    </w:p>
    <w:p>
      <w:pPr>
        <w:autoSpaceDN w:val="0"/>
        <w:autoSpaceDE w:val="0"/>
        <w:widowControl/>
        <w:spacing w:line="278" w:lineRule="auto" w:before="42" w:after="0"/>
        <w:ind w:left="143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list of deeds by notaries.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6"/>
        <w:ind w:left="0" w:right="0"/>
      </w:pPr>
    </w:p>
    <w:p>
      <w:pPr>
        <w:autoSpaceDN w:val="0"/>
        <w:autoSpaceDE w:val="0"/>
        <w:widowControl/>
        <w:spacing w:line="4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784"/>
        </w:trPr>
        <w:tc>
          <w:tcPr>
            <w:tcW w:type="dxa" w:w="2460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34" w:after="0"/>
              <w:ind w:left="0" w:right="31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L.D.-O. 7/2023</w:t>
            </w:r>
          </w:p>
        </w:tc>
        <w:tc>
          <w:tcPr>
            <w:tcW w:type="dxa" w:w="2504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  <w:tc>
          <w:tcPr>
            <w:tcW w:type="dxa" w:w="1158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2" w:lineRule="exact" w:before="90" w:after="0"/>
        <w:ind w:left="1872" w:right="2448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  ACT  TO  AMEND  THE  NOTARIES ORDINANCE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(CHAPTER  107)</w:t>
      </w:r>
    </w:p>
    <w:p>
      <w:pPr>
        <w:autoSpaceDN w:val="0"/>
        <w:autoSpaceDE w:val="0"/>
        <w:widowControl/>
        <w:spacing w:line="245" w:lineRule="auto" w:before="136" w:after="98"/>
        <w:ind w:left="1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6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4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1. This Act may be cited as the Notaries (Amendment)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   of 2023.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8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8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4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2. Section 28 of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Notaries Ordinance (Chapter 107)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(hereinafter referred to as the “principal enactment”)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28</w:t>
            </w:r>
          </w:p>
        </w:tc>
      </w:tr>
      <w:tr>
        <w:trPr>
          <w:trHeight w:hRule="exact" w:val="5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1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amended in subsection (1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) thereof, by the substitution for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107</w:t>
            </w:r>
          </w:p>
        </w:tc>
      </w:tr>
      <w:tr>
        <w:trPr>
          <w:trHeight w:hRule="exact" w:val="21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words “Registrar of Lands.”, of the words and figures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“Registrar of Lands and that any sum of money, if any has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been imposed by the Registrar General in terms of section 35,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9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has been paid.”.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Section 31 of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principal enactment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is hereby amended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31</w:t>
            </w:r>
          </w:p>
        </w:tc>
      </w:tr>
      <w:tr>
        <w:trPr>
          <w:trHeight w:hRule="exact" w:val="14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8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(1) by the substitution for rule (5) thereof,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following:-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98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16" w:after="0"/>
              <w:ind w:left="0" w:right="1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“Deeds to be</w:t>
            </w:r>
          </w:p>
        </w:tc>
        <w:tc>
          <w:tcPr>
            <w:tcW w:type="dxa" w:w="2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4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(5) He shall not authenticate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3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written on</w:t>
            </w:r>
          </w:p>
        </w:tc>
        <w:tc>
          <w:tcPr>
            <w:tcW w:type="dxa" w:w="2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attest any deed or instrument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932"/>
        </w:trPr>
        <w:tc>
          <w:tcPr>
            <w:tcW w:type="dxa" w:w="1503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148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undivided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sheet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sheets signed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by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Registrar of</w:t>
            </w:r>
          </w:p>
        </w:tc>
        <w:tc>
          <w:tcPr>
            <w:tcW w:type="dxa" w:w="2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82" w:right="3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which is written on more than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one entire or undivided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parchment paper or blue sheet,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unless-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2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6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Lands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each of the sheets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papers used has been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previously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produced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before the Registrar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Lands for the district in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which the notary resides,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2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has been marked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signed or initialled by such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registrar in order to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prevent the sheets being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used for any other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20" w:after="0"/>
        <w:ind w:left="0" w:right="356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purpose; or</w:t>
      </w:r>
    </w:p>
    <w:p>
      <w:pPr>
        <w:sectPr>
          <w:pgSz w:w="11900" w:h="16840"/>
          <w:pgMar w:top="1436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2</w:t>
      </w:r>
    </w:p>
    <w:p>
      <w:pPr>
        <w:autoSpaceDN w:val="0"/>
        <w:tabs>
          <w:tab w:pos="3562" w:val="left"/>
        </w:tabs>
        <w:autoSpaceDE w:val="0"/>
        <w:widowControl/>
        <w:spacing w:line="248" w:lineRule="exact" w:before="0" w:after="0"/>
        <w:ind w:left="17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Notaries (Amendment)</w:t>
      </w:r>
    </w:p>
    <w:p>
      <w:pPr>
        <w:autoSpaceDN w:val="0"/>
        <w:tabs>
          <w:tab w:pos="4448" w:val="left"/>
        </w:tabs>
        <w:autoSpaceDE w:val="0"/>
        <w:widowControl/>
        <w:spacing w:line="254" w:lineRule="auto" w:before="84" w:after="16"/>
        <w:ind w:left="405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parties executing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same and the notary shall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sign every sheet or piece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which any part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12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deed or instrument is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written; 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pages are numbered.”;</w:t>
            </w:r>
          </w:p>
        </w:tc>
      </w:tr>
    </w:tbl>
    <w:p>
      <w:pPr>
        <w:autoSpaceDN w:val="0"/>
        <w:autoSpaceDE w:val="0"/>
        <w:widowControl/>
        <w:spacing w:line="233" w:lineRule="auto" w:before="128" w:after="222"/>
        <w:ind w:left="21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(2)  in rule (7A) thereof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0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paragraph (a), by the substitution for t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words 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deed or instrument relating to a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transfer, a gift or an exchange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” of the words</w:t>
            </w:r>
          </w:p>
        </w:tc>
      </w:tr>
    </w:tbl>
    <w:p>
      <w:pPr>
        <w:autoSpaceDN w:val="0"/>
        <w:autoSpaceDE w:val="0"/>
        <w:widowControl/>
        <w:spacing w:line="233" w:lineRule="auto" w:before="16" w:after="0"/>
        <w:ind w:left="0" w:right="378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“every deed or instrument”;</w:t>
      </w:r>
    </w:p>
    <w:p>
      <w:pPr>
        <w:autoSpaceDN w:val="0"/>
        <w:tabs>
          <w:tab w:pos="2970" w:val="left"/>
        </w:tabs>
        <w:autoSpaceDE w:val="0"/>
        <w:widowControl/>
        <w:spacing w:line="247" w:lineRule="auto" w:before="190" w:after="0"/>
        <w:ind w:left="244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by the substitution for paragraph (b),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3270" w:val="left"/>
        </w:tabs>
        <w:autoSpaceDE w:val="0"/>
        <w:widowControl/>
        <w:spacing w:line="257" w:lineRule="auto" w:before="192" w:after="222"/>
        <w:ind w:left="137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15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“(b) The stamps or the original receipt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received from the relevant bank as proof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such payment shall be affixed to the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duplicate of the deed or instrument by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notary;”;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4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addition, immediately after paragraph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(c), of the following new paragraph: -</w:t>
            </w:r>
          </w:p>
        </w:tc>
      </w:tr>
    </w:tbl>
    <w:p>
      <w:pPr>
        <w:autoSpaceDN w:val="0"/>
        <w:tabs>
          <w:tab w:pos="3210" w:val="left"/>
        </w:tabs>
        <w:autoSpaceDE w:val="0"/>
        <w:widowControl/>
        <w:spacing w:line="257" w:lineRule="auto" w:before="128" w:after="0"/>
        <w:ind w:left="1374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“(d) Where stamps are affixed to the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duplicate of the deed or instrument, a true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copy of the duplicate, to which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stamps are affixed shall be annexed to the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original, when the original is presented for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registration.”; and</w:t>
      </w:r>
    </w:p>
    <w:p>
      <w:pPr>
        <w:autoSpaceDN w:val="0"/>
        <w:tabs>
          <w:tab w:pos="2970" w:val="left"/>
        </w:tabs>
        <w:autoSpaceDE w:val="0"/>
        <w:widowControl/>
        <w:spacing w:line="247" w:lineRule="auto" w:before="282" w:after="0"/>
        <w:ind w:left="2444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by the substitution for the marginal note,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following: -</w:t>
      </w:r>
    </w:p>
    <w:p>
      <w:pPr>
        <w:autoSpaceDN w:val="0"/>
        <w:autoSpaceDE w:val="0"/>
        <w:widowControl/>
        <w:spacing w:line="233" w:lineRule="auto" w:before="190" w:after="0"/>
        <w:ind w:left="0" w:right="295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“Stamping of deeds or instruments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500"/>
            <w:tcBorders>
              <w:bottom w:sz="15.359999656677246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0"/>
            <w:tcBorders>
              <w:bottom w:sz="15.35999965667724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782"/>
            <w:tcBorders>
              <w:bottom w:sz="15.359999656677246" w:val="single" w:color="#FFFFF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1500"/>
            <w:vMerge w:val="restart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000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9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  <w:tc>
          <w:tcPr>
            <w:tcW w:type="dxa" w:w="782"/>
            <w:vMerge w:val="restart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>
              <w:top w:sz="15.359999656677246" w:val="single" w:color="#FFFFFF"/>
            </w:tcBorders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(9) thereof, by the substitution for the</w:t>
            </w:r>
          </w:p>
        </w:tc>
        <w:tc>
          <w:tcPr>
            <w:tcW w:type="dxa" w:w="3007"/>
            <w:vMerge/>
            <w:tcBorders>
              <w:top w:sz="15.359999656677246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281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words “and in the latter case, he shall”, of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words, “he shall”;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6" w:after="0"/>
              <w:ind w:left="0" w:right="3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repeal of rule (10) thereof;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(15A) thereof -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in paragraph (b), by the substitution for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168" w:right="241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words “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board of directors or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authorized person of a corporate body”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1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0" w:right="3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54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the words 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board of directors or an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5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authorized person of a corporate body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”;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by the repeal of paragraph (d);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(17) thereof-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paragraph (b), by the substitution for sub-</w:t>
            </w:r>
          </w:p>
        </w:tc>
      </w:tr>
    </w:tbl>
    <w:p>
      <w:pPr>
        <w:autoSpaceDN w:val="0"/>
        <w:autoSpaceDE w:val="0"/>
        <w:widowControl/>
        <w:spacing w:line="233" w:lineRule="auto" w:before="4" w:after="18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paragraph (iii),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“(iii)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case of a deed of transfer or a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deed of gift, or deed of exchange or a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3656" w:right="241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will, he shall affix to the protocol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instrument passport size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photographs of the signatories,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10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16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than the witnesses, to which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notary has affixed his seal and shall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8"/>
        <w:ind w:left="3600" w:right="24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keep copies of national identity card,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passport or driving licence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36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5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3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signatories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attached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5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protocol;”;</w:t>
            </w:r>
          </w:p>
        </w:tc>
      </w:tr>
      <w:tr>
        <w:trPr>
          <w:trHeight w:hRule="exact" w:val="36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paragraph (c) of that rule, by the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323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substitution for the words “full name” of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words “name with initials”;</w:t>
      </w:r>
    </w:p>
    <w:p>
      <w:pPr>
        <w:autoSpaceDN w:val="0"/>
        <w:tabs>
          <w:tab w:pos="2818" w:val="left"/>
        </w:tabs>
        <w:autoSpaceDE w:val="0"/>
        <w:widowControl/>
        <w:spacing w:line="245" w:lineRule="auto" w:before="246" w:after="0"/>
        <w:ind w:left="240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(7)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rule (20) there of, by the substitution for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paragraph (g) of the following: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6"/>
        <w:ind w:left="0" w:right="0"/>
      </w:pPr>
    </w:p>
    <w:p>
      <w:pPr>
        <w:autoSpaceDN w:val="0"/>
        <w:autoSpaceDE w:val="0"/>
        <w:widowControl/>
        <w:spacing w:line="230" w:lineRule="auto" w:before="108" w:after="1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4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4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“(g)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8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specifically the erasures, alterations, and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7" w:lineRule="auto" w:before="16" w:after="208"/>
        <w:ind w:left="1378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interpolations which have been made in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such deed or instrument, and whether they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were made before the same was read over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 aforesaid, and the erasures, alterations,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interpolations, if any, made in the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signatures thereto, in its serial number,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the writing on the stamp affixed thereto;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3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(26) thereof, by the substitution for the</w:t>
            </w:r>
          </w:p>
        </w:tc>
      </w:tr>
    </w:tbl>
    <w:p>
      <w:pPr>
        <w:autoSpaceDN w:val="0"/>
        <w:autoSpaceDE w:val="0"/>
        <w:widowControl/>
        <w:spacing w:line="250" w:lineRule="auto" w:before="6" w:after="220"/>
        <w:ind w:left="2722" w:right="250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words “ in the Form F” in sub-paragraph (i) of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paragraph (a) of that rule, of the words and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figures, “in the Form F 1”; 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6" w:after="0"/>
              <w:ind w:left="0" w:right="3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in rule (30) thereof, by the substitution for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words, “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 shall annex a certified copy of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 of attorney obtained from the Registrar</w:t>
            </w:r>
          </w:p>
        </w:tc>
      </w:tr>
    </w:tbl>
    <w:p>
      <w:pPr>
        <w:autoSpaceDN w:val="0"/>
        <w:tabs>
          <w:tab w:pos="2722" w:val="left"/>
          <w:tab w:pos="2724" w:val="left"/>
        </w:tabs>
        <w:autoSpaceDE w:val="0"/>
        <w:widowControl/>
        <w:spacing w:line="254" w:lineRule="auto" w:before="14" w:after="386"/>
        <w:ind w:left="1374" w:right="244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General to the original, and true copies to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duplicate and the protocol thereof.”, of the words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“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 shall annex a true copy of the registered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power of attorney to the original, duplicate and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protocol thereof.”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4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864" w:right="40" w:firstLine="19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4. The following new section is hereby inserted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after section 38 of the principal enactment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have effect as section 38A:-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38A 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3" w:lineRule="auto" w:before="6" w:after="264"/>
        <w:ind w:left="0" w:right="164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“Notary to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38A .(1) It shall be the duty of every notary-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explain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34" w:right="64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true nature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transaction</w:t>
      </w:r>
    </w:p>
    <w:p>
      <w:pPr>
        <w:autoSpaceDN w:val="0"/>
        <w:autoSpaceDE w:val="0"/>
        <w:widowControl/>
        <w:spacing w:line="245" w:lineRule="auto" w:before="74" w:after="0"/>
        <w:ind w:left="3982" w:right="2500" w:hanging="32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to endeavour to ascertain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true legal nature of the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transaction between the parties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18" w:after="0"/>
              <w:ind w:left="0" w:right="44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5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86" w:lineRule="auto" w:before="48" w:after="0"/>
        <w:ind w:left="4094" w:right="2414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execute the deed or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instrument for the true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transaction; and</w:t>
      </w:r>
    </w:p>
    <w:p>
      <w:pPr>
        <w:autoSpaceDN w:val="0"/>
        <w:autoSpaceDE w:val="0"/>
        <w:widowControl/>
        <w:spacing w:line="233" w:lineRule="auto" w:before="278" w:after="0"/>
        <w:ind w:left="0" w:right="241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(b) specifically, and expressly</w:t>
      </w:r>
    </w:p>
    <w:p>
      <w:pPr>
        <w:autoSpaceDN w:val="0"/>
        <w:tabs>
          <w:tab w:pos="4094" w:val="left"/>
        </w:tabs>
        <w:autoSpaceDE w:val="0"/>
        <w:widowControl/>
        <w:spacing w:line="293" w:lineRule="auto" w:before="78" w:after="0"/>
        <w:ind w:left="151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explain to the executants the true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nature of every deed or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instrument before any executant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signs such deed or instrument.</w:t>
      </w:r>
    </w:p>
    <w:p>
      <w:pPr>
        <w:autoSpaceDN w:val="0"/>
        <w:tabs>
          <w:tab w:pos="3254" w:val="left"/>
          <w:tab w:pos="3674" w:val="left"/>
        </w:tabs>
        <w:autoSpaceDE w:val="0"/>
        <w:widowControl/>
        <w:spacing w:line="300" w:lineRule="auto" w:before="280" w:after="0"/>
        <w:ind w:left="1472" w:right="230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  He shall not directly or indirectly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authenticate or attest any deed of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transfer in respect of a transaction,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which is in fact a mortgage,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conditional transfer, or any other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similar instrument or deed.</w:t>
      </w:r>
    </w:p>
    <w:p>
      <w:pPr>
        <w:autoSpaceDN w:val="0"/>
        <w:tabs>
          <w:tab w:pos="3254" w:val="left"/>
          <w:tab w:pos="3674" w:val="left"/>
        </w:tabs>
        <w:autoSpaceDE w:val="0"/>
        <w:widowControl/>
        <w:spacing w:line="305" w:lineRule="auto" w:before="238" w:after="30"/>
        <w:ind w:left="146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15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(3)     Any notary who shall knowingly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willfully execute a deed or instrument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violation of subsection (1) or (2)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above shall be guilty of an offence,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and be liable to a fine not exceeding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3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five hundred thousand rupees.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”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2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5. The Second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the Second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repeal of Form F thereof,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3" w:lineRule="auto" w:before="38" w:after="0"/>
        <w:ind w:left="0" w:right="284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substitution therefor, of the following: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487"/>
        <w:gridCol w:w="3487"/>
        <w:gridCol w:w="3487"/>
      </w:tblGrid>
      <w:tr>
        <w:trPr>
          <w:trHeight w:hRule="exact" w:val="50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20" w:right="72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6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4" w:after="0"/>
              <w:ind w:left="88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</w:tr>
      <w:tr>
        <w:trPr>
          <w:trHeight w:hRule="exact" w:val="410"/>
        </w:trPr>
        <w:tc>
          <w:tcPr>
            <w:tcW w:type="dxa" w:w="3487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8" w:after="0"/>
              <w:ind w:left="0" w:right="45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“ Form F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[section31(24)]</w:t>
            </w:r>
          </w:p>
        </w:tc>
      </w:tr>
    </w:tbl>
    <w:p>
      <w:pPr>
        <w:autoSpaceDN w:val="0"/>
        <w:autoSpaceDE w:val="0"/>
        <w:widowControl/>
        <w:spacing w:line="220" w:lineRule="exact" w:before="154" w:after="80"/>
        <w:ind w:left="0" w:right="544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6"/>
        </w:rPr>
        <w:t xml:space="preserve"> Register of the deeds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8.0" w:type="dxa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2"/>
      </w:tblGrid>
      <w:tr>
        <w:trPr>
          <w:trHeight w:hRule="exact" w:val="432"/>
        </w:trPr>
        <w:tc>
          <w:tcPr>
            <w:tcW w:type="dxa" w:w="356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Deed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No.</w:t>
            </w:r>
          </w:p>
        </w:tc>
        <w:tc>
          <w:tcPr>
            <w:tcW w:type="dxa" w:w="598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Attestation</w:t>
            </w:r>
          </w:p>
        </w:tc>
        <w:tc>
          <w:tcPr>
            <w:tcW w:type="dxa" w:w="526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Nature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Instrument</w:t>
            </w:r>
          </w:p>
        </w:tc>
        <w:tc>
          <w:tcPr>
            <w:tcW w:type="dxa" w:w="854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288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Name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Parties</w:t>
            </w:r>
          </w:p>
        </w:tc>
        <w:tc>
          <w:tcPr>
            <w:tcW w:type="dxa" w:w="60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6" w:right="0" w:firstLine="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District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Registration</w:t>
            </w:r>
          </w:p>
        </w:tc>
        <w:tc>
          <w:tcPr>
            <w:tcW w:type="dxa" w:w="702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" w:val="left"/>
              </w:tabs>
              <w:autoSpaceDE w:val="0"/>
              <w:widowControl/>
              <w:spacing w:line="247" w:lineRule="auto" w:before="1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Name of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 land affected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by deed, first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land only, if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more than one</w:t>
            </w:r>
          </w:p>
        </w:tc>
        <w:tc>
          <w:tcPr>
            <w:tcW w:type="dxa" w:w="69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Consideration </w:t>
            </w:r>
          </w:p>
        </w:tc>
        <w:tc>
          <w:tcPr>
            <w:tcW w:type="dxa" w:w="48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2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Stamps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o n </w:t>
            </w:r>
            <w:r>
              <w:br/>
            </w:r>
            <w:r>
              <w:rPr>
                <w:w w:val="105.40925131903754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duplicate</w:t>
            </w:r>
          </w:p>
        </w:tc>
      </w:tr>
      <w:tr>
        <w:trPr>
          <w:trHeight w:hRule="exact" w:val="408"/>
        </w:trPr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4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Grantor</w:t>
            </w:r>
          </w:p>
        </w:tc>
        <w:tc>
          <w:tcPr>
            <w:tcW w:type="dxa" w:w="4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Grantee</w:t>
            </w:r>
          </w:p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162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</w:tr>
      <w:tr>
        <w:trPr>
          <w:trHeight w:hRule="exact" w:val="128"/>
        </w:trPr>
        <w:tc>
          <w:tcPr>
            <w:tcW w:type="dxa" w:w="35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5230"/>
        <w:gridCol w:w="5230"/>
      </w:tblGrid>
      <w:tr>
        <w:trPr>
          <w:trHeight w:hRule="exact" w:val="3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insertion immediately after Form F thereof,</w:t>
            </w:r>
          </w:p>
        </w:tc>
      </w:tr>
    </w:tbl>
    <w:p>
      <w:pPr>
        <w:autoSpaceDN w:val="0"/>
        <w:autoSpaceDE w:val="0"/>
        <w:widowControl/>
        <w:spacing w:line="233" w:lineRule="auto" w:before="28" w:after="0"/>
        <w:ind w:left="23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following new form: -</w:t>
      </w:r>
    </w:p>
    <w:p>
      <w:pPr>
        <w:autoSpaceDN w:val="0"/>
        <w:tabs>
          <w:tab w:pos="5154" w:val="left"/>
        </w:tabs>
        <w:autoSpaceDE w:val="0"/>
        <w:widowControl/>
        <w:spacing w:line="242" w:lineRule="auto" w:before="190" w:after="0"/>
        <w:ind w:left="14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[section 31 (26)]</w:t>
      </w:r>
    </w:p>
    <w:p>
      <w:pPr>
        <w:autoSpaceDN w:val="0"/>
        <w:autoSpaceDE w:val="0"/>
        <w:widowControl/>
        <w:spacing w:line="222" w:lineRule="exact" w:before="238" w:after="0"/>
        <w:ind w:left="0" w:right="596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6"/>
        </w:rPr>
        <w:t>“ Form F 1</w:t>
      </w:r>
    </w:p>
    <w:p>
      <w:pPr>
        <w:autoSpaceDN w:val="0"/>
        <w:autoSpaceDE w:val="0"/>
        <w:widowControl/>
        <w:spacing w:line="222" w:lineRule="exact" w:before="214" w:after="0"/>
        <w:ind w:left="0" w:right="521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6"/>
        </w:rPr>
        <w:t>Monthly list of the deeds</w:t>
      </w:r>
    </w:p>
    <w:p>
      <w:pPr>
        <w:autoSpaceDN w:val="0"/>
        <w:autoSpaceDE w:val="0"/>
        <w:widowControl/>
        <w:spacing w:line="233" w:lineRule="auto" w:before="202" w:after="0"/>
        <w:ind w:left="18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List of deeds attested during the month of….. year……..</w:t>
      </w:r>
    </w:p>
    <w:p>
      <w:pPr>
        <w:autoSpaceDN w:val="0"/>
        <w:tabs>
          <w:tab w:pos="1694" w:val="left"/>
        </w:tabs>
        <w:autoSpaceDE w:val="0"/>
        <w:widowControl/>
        <w:spacing w:line="245" w:lineRule="auto" w:before="190" w:after="84"/>
        <w:ind w:left="1422" w:right="691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Name of the notary: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NIC No. of the notary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No: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>
        <w:trPr>
          <w:trHeight w:hRule="exact" w:val="564"/>
        </w:trPr>
        <w:tc>
          <w:tcPr>
            <w:tcW w:type="dxa" w:w="276"/>
            <w:vMerge w:val="restart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No. </w:t>
            </w:r>
          </w:p>
        </w:tc>
        <w:tc>
          <w:tcPr>
            <w:tcW w:type="dxa" w:w="270"/>
            <w:vMerge w:val="restart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Deed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No. </w:t>
            </w:r>
          </w:p>
        </w:tc>
        <w:tc>
          <w:tcPr>
            <w:tcW w:type="dxa" w:w="450"/>
            <w:vMerge w:val="restart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Attestation </w:t>
            </w:r>
          </w:p>
        </w:tc>
        <w:tc>
          <w:tcPr>
            <w:tcW w:type="dxa" w:w="450"/>
            <w:vMerge w:val="restart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Nature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instrument </w:t>
            </w:r>
          </w:p>
        </w:tc>
        <w:tc>
          <w:tcPr>
            <w:tcW w:type="dxa" w:w="632"/>
            <w:gridSpan w:val="2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Grantor </w:t>
            </w:r>
          </w:p>
        </w:tc>
        <w:tc>
          <w:tcPr>
            <w:tcW w:type="dxa" w:w="632"/>
            <w:gridSpan w:val="2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Grantee </w:t>
            </w:r>
          </w:p>
        </w:tc>
        <w:tc>
          <w:tcPr>
            <w:tcW w:type="dxa" w:w="448"/>
            <w:vMerge w:val="restart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Registered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District </w:t>
            </w:r>
          </w:p>
        </w:tc>
        <w:tc>
          <w:tcPr>
            <w:tcW w:type="dxa" w:w="452"/>
            <w:vMerge w:val="restart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Divisional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Secretary’s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Division </w:t>
            </w:r>
          </w:p>
        </w:tc>
        <w:tc>
          <w:tcPr>
            <w:tcW w:type="dxa" w:w="360"/>
            <w:vMerge w:val="restart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Name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Land </w:t>
            </w:r>
          </w:p>
        </w:tc>
        <w:tc>
          <w:tcPr>
            <w:tcW w:type="dxa" w:w="448"/>
            <w:vMerge w:val="restart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Local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authority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in which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the land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situated </w:t>
            </w:r>
          </w:p>
        </w:tc>
        <w:tc>
          <w:tcPr>
            <w:tcW w:type="dxa" w:w="566"/>
            <w:vMerge w:val="restart"/>
            <w:tcBorders>
              <w:start w:sz="0.9599999785423279" w:val="single" w:color="#000000"/>
              <w:top w:sz="0.9599999785423279" w:val="single" w:color="#000000"/>
              <w:end w:sz="3.8399999141693115" w:val="single" w:color="#221F1F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Consideration </w:t>
            </w:r>
          </w:p>
        </w:tc>
        <w:tc>
          <w:tcPr>
            <w:tcW w:type="dxa" w:w="3458"/>
            <w:vMerge w:val="restart"/>
            <w:tcBorders>
              <w:start w:sz="3.8399999141693115" w:val="single" w:color="#221F1F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vMerge w:val="restart"/>
            <w:tcBorders>
              <w:start w:sz="0.9599999785423279" w:val="single" w:color="#000000"/>
              <w:top w:sz="4.0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" w:after="0"/>
              <w:ind w:left="38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Stamps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Duplica</w:t>
            </w:r>
          </w:p>
          <w:p>
            <w:pPr>
              <w:autoSpaceDN w:val="0"/>
              <w:autoSpaceDE w:val="0"/>
              <w:widowControl/>
              <w:spacing w:line="250" w:lineRule="auto" w:before="344" w:after="0"/>
              <w:ind w:left="0" w:right="86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Provinc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Counci</w:t>
            </w:r>
          </w:p>
        </w:tc>
      </w:tr>
      <w:tr>
        <w:trPr>
          <w:trHeight w:hRule="exact" w:val="367"/>
        </w:trPr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364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Name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address </w:t>
            </w:r>
          </w:p>
        </w:tc>
        <w:tc>
          <w:tcPr>
            <w:tcW w:type="dxa" w:w="268"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No. </w:t>
            </w:r>
          </w:p>
        </w:tc>
        <w:tc>
          <w:tcPr>
            <w:tcW w:type="dxa" w:w="362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Name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address </w:t>
            </w:r>
          </w:p>
        </w:tc>
        <w:tc>
          <w:tcPr>
            <w:tcW w:type="dxa" w:w="270"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No. </w:t>
            </w:r>
          </w:p>
        </w:tc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0.9599999785423279" w:val="single" w:color="#000000"/>
              <w:end w:sz="3.8399999141693115" w:val="single" w:color="#221F1F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3.8399999141693115" w:val="single" w:color="#221F1F"/>
              <w:top w:sz="0.9599999785423279" w:val="single" w:color="#000000"/>
              <w:end w:sz="0.9599999785423279" w:val="single" w:color="#000000"/>
              <w:bottom w:sz="0.9599999785423279" w:val="single" w:color="#000000"/>
            </w:tcBorders>
          </w:tcPr>
          <w:p/>
        </w:tc>
        <w:tc>
          <w:tcPr>
            <w:tcW w:type="dxa" w:w="697"/>
            <w:vMerge/>
            <w:tcBorders>
              <w:start w:sz="0.9599999785423279" w:val="single" w:color="#000000"/>
              <w:top w:sz="4.0" w:val="single" w:color="#000000"/>
              <w:bottom w:sz="0.959999978542327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5230"/>
        <w:gridCol w:w="5230"/>
      </w:tblGrid>
      <w:tr>
        <w:trPr>
          <w:trHeight w:hRule="exact" w:val="532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54" w:right="0" w:firstLine="34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6. For the avoidance of doubt, it is hereby declared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provisions of this Act shall not affect any deed or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8" w:right="144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Avoidance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doubt</w:t>
            </w:r>
          </w:p>
        </w:tc>
      </w:tr>
    </w:tbl>
    <w:p>
      <w:pPr>
        <w:autoSpaceDN w:val="0"/>
        <w:autoSpaceDE w:val="0"/>
        <w:widowControl/>
        <w:spacing w:line="233" w:lineRule="auto" w:before="8" w:after="10"/>
        <w:ind w:left="16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instrument lawfully executed prior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to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5230"/>
        <w:gridCol w:w="5230"/>
      </w:tblGrid>
      <w:tr>
        <w:trPr>
          <w:trHeight w:hRule="exact" w:val="48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4" w:right="187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commencement of this Act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pending registration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accordance with the provisions of Registration of Documents</w:t>
            </w:r>
          </w:p>
        </w:tc>
      </w:tr>
    </w:tbl>
    <w:p>
      <w:pPr>
        <w:autoSpaceDN w:val="0"/>
        <w:autoSpaceDE w:val="0"/>
        <w:widowControl/>
        <w:spacing w:line="233" w:lineRule="auto" w:before="8" w:after="120"/>
        <w:ind w:left="16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Ordinance (Chapter 117).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5230"/>
        <w:gridCol w:w="5230"/>
      </w:tblGrid>
      <w:tr>
        <w:trPr>
          <w:trHeight w:hRule="exact" w:val="652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94" w:val="left"/>
              </w:tabs>
              <w:autoSpaceDE w:val="0"/>
              <w:widowControl/>
              <w:spacing w:line="245" w:lineRule="auto" w:before="60" w:after="0"/>
              <w:ind w:left="854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7.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8" w:right="144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6608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inconsis-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tency</w:t>
      </w:r>
    </w:p>
    <w:p>
      <w:pPr>
        <w:autoSpaceDN w:val="0"/>
        <w:autoSpaceDE w:val="0"/>
        <w:widowControl/>
        <w:spacing w:line="238" w:lineRule="auto" w:before="636" w:after="0"/>
        <w:ind w:left="150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2—PL 014259—230 (12/2023)</w:t>
      </w:r>
    </w:p>
    <w:p>
      <w:pPr>
        <w:sectPr>
          <w:pgSz w:w="11900" w:h="16840"/>
          <w:pgMar w:top="1440" w:right="0" w:bottom="1420" w:left="1440" w:header="720" w:footer="720" w:gutter="0"/>
          <w:cols w:space="720" w:num="1" w:equalWidth="0">
            <w:col w:w="10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6"/>
        <w:ind w:left="0" w:right="0"/>
      </w:pPr>
    </w:p>
    <w:p>
      <w:pPr>
        <w:autoSpaceDN w:val="0"/>
        <w:autoSpaceDE w:val="0"/>
        <w:widowControl/>
        <w:spacing w:line="61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752.0" w:type="dxa"/>
      </w:tblPr>
      <w:tblGrid>
        <w:gridCol w:w="5230"/>
        <w:gridCol w:w="5230"/>
      </w:tblGrid>
      <w:tr>
        <w:trPr>
          <w:trHeight w:hRule="exact" w:val="360"/>
        </w:trPr>
        <w:tc>
          <w:tcPr>
            <w:tcW w:type="dxa" w:w="4888"/>
            <w:gridSpan w:val="2"/>
            <w:tcBorders>
              <w:bottom w:sz="15.359999656677246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54" w:val="left"/>
              </w:tabs>
              <w:autoSpaceDE w:val="0"/>
              <w:widowControl/>
              <w:spacing w:line="252" w:lineRule="auto" w:before="8" w:after="0"/>
              <w:ind w:left="3732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 on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ate</w:t>
            </w:r>
          </w:p>
        </w:tc>
      </w:tr>
      <w:tr>
        <w:trPr>
          <w:trHeight w:hRule="exact" w:val="201"/>
        </w:trPr>
        <w:tc>
          <w:tcPr>
            <w:tcW w:type="dxa" w:w="4036"/>
            <w:tcBorders>
              <w:top w:sz="15.359999656677246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top w:sz="15.359999656677246" w:val="single" w:color="#FFFFFF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7"/>
        </w:trPr>
        <w:tc>
          <w:tcPr>
            <w:tcW w:type="dxa" w:w="4036"/>
            <w:tcBorders>
              <w:end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3600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l </w:t>
            </w:r>
          </w:p>
        </w:tc>
        <w:tc>
          <w:tcPr>
            <w:tcW w:type="dxa" w:w="852"/>
            <w:tcBorders>
              <w:start w:sz="0.9599999785423279" w:val="single" w:color="#000000"/>
              <w:top w:sz="0.9599999785423279" w:val="single" w:color="#000000"/>
              <w:bottom w:sz="0.95999997854232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38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Inland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 xml:space="preserve">Revenue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38.0" w:type="dxa"/>
      </w:tblPr>
      <w:tblGrid>
        <w:gridCol w:w="5230"/>
        <w:gridCol w:w="5230"/>
      </w:tblGrid>
      <w:tr>
        <w:trPr>
          <w:trHeight w:hRule="exact" w:val="272"/>
        </w:trPr>
        <w:tc>
          <w:tcPr>
            <w:tcW w:type="dxa" w:w="2440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24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10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9878"/>
        </w:trPr>
        <w:tc>
          <w:tcPr>
            <w:tcW w:type="dxa" w:w="2440"/>
            <w:tcBorders>
              <w:top w:sz="7.679999828338623" w:val="single" w:color="#FFFFF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9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Notaries (Amendment)</w:t>
            </w:r>
          </w:p>
        </w:tc>
        <w:tc>
          <w:tcPr>
            <w:tcW w:type="dxa" w:w="1924"/>
            <w:tcBorders>
              <w:top w:sz="7.679999828338623" w:val="single" w:color="#FFFFF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1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50" w:after="0"/>
        <w:ind w:left="0" w:right="3360" w:firstLine="0"/>
        <w:jc w:val="right"/>
      </w:pPr>
      <w:r>
        <w:rPr>
          <w:rFonts w:ascii="Times" w:hAnsi="Times" w:eastAsia="Times"/>
          <w:b w:val="0"/>
          <w:i w:val="0"/>
          <w:color w:val="343938"/>
          <w:sz w:val="11"/>
        </w:rPr>
        <w:t>DEPARTMENT</w:t>
      </w:r>
      <w:r>
        <w:rPr>
          <w:rFonts w:ascii="Times" w:hAnsi="Times" w:eastAsia="Times"/>
          <w:b w:val="0"/>
          <w:i w:val="0"/>
          <w:color w:val="343938"/>
          <w:sz w:val="11"/>
        </w:rPr>
        <w:t>OF</w:t>
      </w:r>
      <w:r>
        <w:rPr>
          <w:rFonts w:ascii="Times" w:hAnsi="Times" w:eastAsia="Times"/>
          <w:b w:val="0"/>
          <w:i w:val="0"/>
          <w:color w:val="343938"/>
          <w:sz w:val="11"/>
        </w:rPr>
        <w:t>GOVERNMENT</w:t>
      </w:r>
      <w:r>
        <w:rPr>
          <w:rFonts w:ascii="Times" w:hAnsi="Times" w:eastAsia="Times"/>
          <w:b w:val="0"/>
          <w:i w:val="0"/>
          <w:color w:val="343938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0" w:header="720" w:footer="720" w:gutter="0"/>
      <w:cols w:space="720" w:num="1" w:equalWidth="0">
        <w:col w:w="10460" w:space="0"/>
        <w:col w:w="104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