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PREVENTION OF FRAUDS (AMENDMENT)</w:t>
      </w:r>
    </w:p>
    <w:p>
      <w:pPr>
        <w:autoSpaceDN w:val="0"/>
        <w:autoSpaceDE w:val="0"/>
        <w:widowControl/>
        <w:spacing w:line="238" w:lineRule="auto" w:before="5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Prevention of Frauds Ordinance (Chapter 70)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Justice, Prison Affairs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and 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December, 2023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29,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222]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Statement of Legal Effect</w:t>
      </w:r>
    </w:p>
    <w:p>
      <w:pPr>
        <w:autoSpaceDN w:val="0"/>
        <w:autoSpaceDE w:val="0"/>
        <w:widowControl/>
        <w:spacing w:line="247" w:lineRule="auto" w:before="194" w:after="0"/>
        <w:ind w:left="1446" w:right="1342" w:firstLine="162"/>
        <w:jc w:val="both"/>
      </w:pPr>
      <w:r>
        <w:rPr>
          <w:rFonts w:ascii="Times,BoldItalic" w:hAnsi="Times,BoldItalic" w:eastAsia="Times,BoldItalic"/>
          <w:b/>
          <w:i/>
          <w:color w:val="37413F"/>
          <w:sz w:val="20"/>
        </w:rPr>
        <w:t>Clause 2 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clause amends section 2 of the Prevention of Frauds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70) and the legal effect of the section as amended is to provide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which would facilitate the prevention of forgery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execution of a deed of transfer.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44" w:lineRule="exact" w:before="14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Prevention of Frauds (Amendment)</w:t>
      </w:r>
    </w:p>
    <w:p>
      <w:pPr>
        <w:autoSpaceDN w:val="0"/>
        <w:autoSpaceDE w:val="0"/>
        <w:widowControl/>
        <w:spacing w:line="276" w:lineRule="exact" w:before="278" w:after="0"/>
        <w:ind w:left="179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L.D. - O. 8/2023</w:t>
      </w:r>
    </w:p>
    <w:p>
      <w:pPr>
        <w:autoSpaceDN w:val="0"/>
        <w:autoSpaceDE w:val="0"/>
        <w:widowControl/>
        <w:spacing w:line="240" w:lineRule="exact" w:before="468" w:after="0"/>
        <w:ind w:left="1728" w:right="244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 ACT  TO  AMEND THE PREVENTION  OF  FRAUDS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ORDINANCE (CHAPTER 70)</w:t>
      </w:r>
    </w:p>
    <w:p>
      <w:pPr>
        <w:autoSpaceDN w:val="0"/>
        <w:autoSpaceDE w:val="0"/>
        <w:widowControl/>
        <w:spacing w:line="240" w:lineRule="exact" w:before="402" w:after="74"/>
        <w:ind w:left="179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1.This Act may be cited as the Prevention of Frauds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 of 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2. Section 2 of the Prevention of Frauds Ordinance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70) is 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2" w:val="left"/>
              </w:tabs>
              <w:autoSpaceDE w:val="0"/>
              <w:widowControl/>
              <w:spacing w:line="240" w:lineRule="exact" w:before="96" w:after="0"/>
              <w:ind w:left="46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by the renumbering of that section as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70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(2)   by the addition, immediately after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58" w:after="74"/>
        <w:ind w:left="0" w:right="34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“(2) In relation to a transfer deed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22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78" w:after="0"/>
              <w:ind w:left="0" w:right="7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74" w:right="1216" w:hanging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(a) both the transferor and the transferee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affix their signatures and thumb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impressions as required by subsection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(1):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1074" w:right="1216" w:firstLine="45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however, where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transferee is unable to be present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execute the deed or instrument, he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authorise in writing, any other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sign such deed or instrument on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behalf, who shall comply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requirements set out in subsection (1):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074" w:right="1216" w:firstLine="45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further, where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transferee is a corporate body and where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Board of Directors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corporate body is unable to be present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execute the deed or instrument,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Prevention of Frauds (Amendment)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Board shall authorise in writing,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other person to sign such deed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instrument on his behalf, who shall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comply with the requirements set out in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(1).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74"/>
        <w:ind w:left="3280" w:right="2506" w:hanging="3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 if the transferee is a minor, a guardian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 competent person to act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behalf of the transferee for the purpose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40" w:lineRule="exact" w:before="8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3.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35" w:lineRule="auto" w:before="10382" w:after="0"/>
        <w:ind w:left="0" w:right="3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