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RAJITHA SENARATHNE FOUNDATION </w:t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20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8" w:after="0"/>
        <w:ind w:left="0" w:right="23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 incorporate  the  Rajitha Senarathne Foundation</w:t>
      </w:r>
    </w:p>
    <w:p>
      <w:pPr>
        <w:autoSpaceDN w:val="0"/>
        <w:autoSpaceDE w:val="0"/>
        <w:widowControl/>
        <w:spacing w:line="235" w:lineRule="auto" w:before="222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18" w:after="0"/>
        <w:ind w:left="1872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(Ven.) Athuraliye Rathana Thero,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11th December, 2023</w:t>
      </w:r>
    </w:p>
    <w:p>
      <w:pPr>
        <w:autoSpaceDN w:val="0"/>
        <w:autoSpaceDE w:val="0"/>
        <w:widowControl/>
        <w:spacing w:line="235" w:lineRule="auto" w:before="254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13, 2023)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223]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Rajitha Senarathne Foundation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62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221F1F"/>
          <w:sz w:val="14"/>
        </w:rPr>
        <w:t>AJITHA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ENARATHNE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9" w:lineRule="auto" w:before="3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“Rajitha Senarathne Foundation” heretofore been formed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subjects and matters  connected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by its members:</w:t>
      </w:r>
    </w:p>
    <w:p>
      <w:pPr>
        <w:autoSpaceDN w:val="0"/>
        <w:autoSpaceDE w:val="0"/>
        <w:widowControl/>
        <w:spacing w:line="259" w:lineRule="auto" w:before="284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objects and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it was formed and has applied to  incorporated and </w:t>
      </w:r>
      <w:r>
        <w:rPr>
          <w:rFonts w:ascii="Times" w:hAnsi="Times" w:eastAsia="Times"/>
          <w:b w:val="0"/>
          <w:i w:val="0"/>
          <w:color w:val="221F1F"/>
          <w:sz w:val="20"/>
        </w:rPr>
        <w:t>it will be for the public advantage to grant the application: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82" w:after="224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Rajitha Senarathne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 of 2016.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commencement of this Act, such and so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many persons as are members of the Corporation “Rajitha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Rajitha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Senarathne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Senarathne Foundation” (herein 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Foundation.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2" w:lineRule="auto" w:before="14" w:after="22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 shall and become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with perpetual succession under the name and title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Rajitha Senarathne Foundation (herein after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Courts with full power and authority to have and use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objectivs for which the Corporation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objectivs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initiate Kalutara District Resource Center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14" w:after="0"/>
        <w:ind w:left="21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of resources base centered at the urban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areas to the rural levels;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identify requirements, problems, resources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0" w:val="left"/>
          <w:tab w:pos="3466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Rajitha Senarathne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66" w:after="2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 potential of the Kalutara District and build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 small scale industry structure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paricipation of youth of the Kaluthara District;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 up integrated economic development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in the Kaluthara district with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participation of government, non government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sectors;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Medical Clinics and welfare programmes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solve health and incidental problems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Kaluthara District;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environment preservation and make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aware the community in this regard;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66" w:lineRule="auto" w:before="292" w:after="2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initiate self employment programmes to strengthen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status of the women in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them with knowledge, monetary assistance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assistance by any other means to involve in self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employments or enabling them to sell their products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purchase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educational and vocational programmes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youth and initiate business entrepreneurs,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them with financial or other assistance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initiate self employment or provide facilities to sell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products or purchase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lectures seminars, discussions and carnivals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the objectivs  of the Corporation;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cooperate with other corporations, organizations 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societies which are similar to the objectivs 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88"/>
        <w:ind w:left="289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Rajitha Senarathne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the Corporation shall have the power to do perform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execute all such Acts matters and things, whatsoever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are necessary or desirable for the promotion or furtherance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objects of the Corporation or any of them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to open operate or close bank accounts to borrow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raise moneys with or without security to receive or collect </w:t>
      </w:r>
      <w:r>
        <w:rPr>
          <w:rFonts w:ascii="Times" w:hAnsi="Times" w:eastAsia="Times"/>
          <w:b w:val="0"/>
          <w:i w:val="0"/>
          <w:color w:val="000000"/>
          <w:sz w:val="20"/>
        </w:rPr>
        <w:t>or accept grants and donations to invest its funds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and to engage employ and dismiss officers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servants required for the carrying out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objectivs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7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 subject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of the Corporation be administered by an Executive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consisting of officers and other personnel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in accordance with the Section 6 of the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2" w:after="15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Executive Committee which held the office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 before the date of implementation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shall be the first Executive Committee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 from time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 at any general meeting and by a majority of not 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two thirds of the members present and voting, to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4" w:lineRule="auto" w:before="202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 and sum of the fee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by members of each class and the admission,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wihtdrawal or expulsion of members;</w:t>
      </w:r>
    </w:p>
    <w:p>
      <w:pPr>
        <w:autoSpaceDN w:val="0"/>
        <w:autoSpaceDE w:val="0"/>
        <w:widowControl/>
        <w:spacing w:line="238" w:lineRule="auto" w:before="240" w:after="4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election of office bearers, the resignation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vacation of or removal from office and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bearers and their powers, conduct and duties;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 of the members of the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and its powers, conduct and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of office of members of the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0" w:val="left"/>
          <w:tab w:pos="3466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Rajitha Senarathne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powers, conduct, duties and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7" w:lineRule="auto" w:before="254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for the summoning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 times, places, notices and agenda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meetings the quorum and the matters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discussed;</w:t>
      </w:r>
    </w:p>
    <w:p>
      <w:pPr>
        <w:autoSpaceDN w:val="0"/>
        <w:autoSpaceDE w:val="0"/>
        <w:widowControl/>
        <w:spacing w:line="235" w:lineRule="auto" w:before="254" w:after="6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the administration and management of the porperty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Corporation the custody and its funds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and audit of its accounts;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9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 for the management of the affairs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accomplishment of its objects.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rule made by the Corporation may be amended,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altered, added to or  replaced at a like  manner as a rule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made under subsection (1).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9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existing on the day preceding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 shall be paid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discharged by the Corporation hereby constituted and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debts due to and subscriptions and contributions payable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foundation on that date shall be paid to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hereby constituted.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 movable or immovable,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or testamentary disposition or otherwise and all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and subject to the rules of the Corporation with full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encumber or change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94"/>
        <w:ind w:left="289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Rajitha Senarathne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5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heretofore or hereafter to be received by way of 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allocations bequest, donation, subscription, contribution fees </w:t>
      </w:r>
      <w:r>
        <w:rPr>
          <w:rFonts w:ascii="Times" w:hAnsi="Times" w:eastAsia="Times"/>
          <w:b w:val="0"/>
          <w:i w:val="0"/>
          <w:color w:val="221F1F"/>
          <w:sz w:val="20"/>
        </w:rPr>
        <w:t>or grants for or and on account of the corporation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deposited in one or more banks as the Corporation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from the 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all sums of  money incurred by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in the exercise of 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 Corporation shall not be affixed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in the presence of the President,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or the Treasurer of the Corporation and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signing shall be independent of the signing of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witness.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persons, except such as are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Rajitha Senarathne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8824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subscription of English Bills and Acts of the Parliament Rs. 885 (Local), Rs. 1,180 </w:t>
      </w:r>
      <w:r>
        <w:rPr>
          <w:rFonts w:ascii="Times" w:hAnsi="Times" w:eastAsia="Times"/>
          <w:b w:val="0"/>
          <w:i w:val="0"/>
          <w:color w:val="221F1F"/>
          <w:sz w:val="16"/>
        </w:rPr>
        <w:t>(Foreign), Payable to the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UPERINTENDENT</w:t>
      </w:r>
      <w:r>
        <w:rPr>
          <w:rFonts w:ascii="Times" w:hAnsi="Times" w:eastAsia="Times"/>
          <w:b w:val="0"/>
          <w:i w:val="0"/>
          <w:color w:val="221F1F"/>
          <w:sz w:val="16"/>
        </w:rPr>
        <w:t>, 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UBLICATIONS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B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UREAU</w:t>
      </w:r>
      <w:r>
        <w:rPr>
          <w:rFonts w:ascii="Times" w:hAnsi="Times" w:eastAsia="Times"/>
          <w:b w:val="0"/>
          <w:i w:val="0"/>
          <w:color w:val="221F1F"/>
          <w:sz w:val="16"/>
        </w:rPr>
        <w:t>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NFORMATION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163, K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IRULAPONA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OLHENGODA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05 before 15th </w:t>
      </w:r>
      <w:r>
        <w:rPr>
          <w:rFonts w:ascii="Times" w:hAnsi="Times" w:eastAsia="Times"/>
          <w:b w:val="0"/>
          <w:i w:val="0"/>
          <w:color w:val="221F1F"/>
          <w:sz w:val="16"/>
        </w:rPr>
        <w:t>December each year in respect of the year following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