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496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352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PRAGNABANDU SCHOLARSHIP TRUST FUND </w:t>
      </w:r>
      <w:r>
        <w:rPr>
          <w:rFonts w:ascii="Times,Bold" w:hAnsi="Times,Bold" w:eastAsia="Times,Bold"/>
          <w:b/>
          <w:i w:val="0"/>
          <w:color w:val="000000"/>
          <w:sz w:val="24"/>
        </w:rPr>
        <w:t>(INCORPORATION)</w:t>
      </w:r>
    </w:p>
    <w:p>
      <w:pPr>
        <w:autoSpaceDN w:val="0"/>
        <w:autoSpaceDE w:val="0"/>
        <w:widowControl/>
        <w:spacing w:line="238" w:lineRule="auto" w:before="41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31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5" w:lineRule="auto" w:before="270" w:after="0"/>
        <w:ind w:left="198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incorporate the Pragnabandu Scholarship Trust Fund</w:t>
      </w:r>
    </w:p>
    <w:p>
      <w:pPr>
        <w:autoSpaceDN w:val="0"/>
        <w:autoSpaceDE w:val="0"/>
        <w:widowControl/>
        <w:spacing w:line="235" w:lineRule="auto" w:before="29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52" w:after="0"/>
        <w:ind w:left="2160" w:right="216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the Hon. (Major) Pradeep Undugoda, M.P.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for Colombo District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on 12th of December, 2023</w:t>
      </w:r>
    </w:p>
    <w:p>
      <w:pPr>
        <w:autoSpaceDN w:val="0"/>
        <w:autoSpaceDE w:val="0"/>
        <w:widowControl/>
        <w:spacing w:line="238" w:lineRule="auto" w:before="25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December 05, 2023)</w:t>
      </w:r>
    </w:p>
    <w:p>
      <w:pPr>
        <w:autoSpaceDN w:val="0"/>
        <w:autoSpaceDE w:val="0"/>
        <w:widowControl/>
        <w:spacing w:line="238" w:lineRule="auto" w:before="25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2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10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224]</w:t>
      </w:r>
    </w:p>
    <w:p>
      <w:pPr>
        <w:autoSpaceDN w:val="0"/>
        <w:autoSpaceDE w:val="0"/>
        <w:widowControl/>
        <w:spacing w:line="245" w:lineRule="auto" w:before="126" w:after="56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00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8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24.00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6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84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2" w:after="0"/>
              <w:ind w:left="6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7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dp</w:t>
      </w:r>
    </w:p>
    <w:p>
      <w:pPr>
        <w:sectPr>
          <w:pgSz w:w="11900" w:h="16840"/>
          <w:pgMar w:top="1440" w:right="1440" w:bottom="1390" w:left="1362" w:header="720" w:footer="720" w:gutter="0"/>
          <w:cols w:space="720" w:num="1" w:equalWidth="0"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1296" w:right="288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Pragnabandu Scholarship Trust Fund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57" w:lineRule="auto" w:before="192" w:after="0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RAGNABANDU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CHOLARSHIIP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14"/>
        </w:rPr>
        <w:t>RUST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</w:t>
      </w:r>
    </w:p>
    <w:p>
      <w:pPr>
        <w:autoSpaceDN w:val="0"/>
        <w:tabs>
          <w:tab w:pos="1798" w:val="left"/>
          <w:tab w:pos="6718" w:val="left"/>
        </w:tabs>
        <w:autoSpaceDE w:val="0"/>
        <w:widowControl/>
        <w:spacing w:line="266" w:lineRule="auto" w:before="290" w:after="0"/>
        <w:ind w:left="1438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Fund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 Pragnabandu Scholarship Trust Fund” has heretofore been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for the purpose of the advancement of the cause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education in Sri Lanka, by Deed of Trust No. 78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the “Deed”), attested by Kamini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Dissanayake of Colombo, Notary Public, and set out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Schedule hereto:</w:t>
      </w:r>
    </w:p>
    <w:p>
      <w:pPr>
        <w:autoSpaceDN w:val="0"/>
        <w:tabs>
          <w:tab w:pos="1798" w:val="left"/>
        </w:tabs>
        <w:autoSpaceDE w:val="0"/>
        <w:widowControl/>
        <w:spacing w:line="266" w:lineRule="auto" w:before="29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sufficient funds have been successfully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collected by means of public and private endowments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carrying out of the aims and objects of the said Trust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 and the Trustees have made an application for the said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Trust Fund to be incorporated in accordance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hereinafter set out, and it will be for the public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advantage to grant the application:</w:t>
      </w:r>
    </w:p>
    <w:p>
      <w:pPr>
        <w:autoSpaceDN w:val="0"/>
        <w:tabs>
          <w:tab w:pos="1798" w:val="left"/>
        </w:tabs>
        <w:autoSpaceDE w:val="0"/>
        <w:widowControl/>
        <w:spacing w:line="254" w:lineRule="auto" w:before="292" w:after="234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therefore, enacted by the Parliament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Democratic Socialist 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Pragnabandu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16" w:after="23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Scholarship Trust Fund (Incorporation) Act, No.   of 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6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9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the Pragnabandu Scholarship Trust Fund shall be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Pragnabandu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 with perpetual succession under the name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Scholarship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style of “The Pragnabandu Scholarship Trust Fund”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Trust Fund</w:t>
            </w:r>
          </w:p>
        </w:tc>
      </w:tr>
    </w:tbl>
    <w:p>
      <w:pPr>
        <w:autoSpaceDN w:val="0"/>
        <w:autoSpaceDE w:val="0"/>
        <w:widowControl/>
        <w:spacing w:line="254" w:lineRule="auto" w:before="16" w:after="1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the “Fund”) and by that name </w:t>
      </w:r>
      <w:r>
        <w:rPr>
          <w:rFonts w:ascii="Times" w:hAnsi="Times" w:eastAsia="Times"/>
          <w:b w:val="0"/>
          <w:i w:val="0"/>
          <w:color w:val="221F1F"/>
          <w:sz w:val="20"/>
        </w:rPr>
        <w:t>may sue and be sued in all courts, with full power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to have and to use a common seal.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30" w:after="0"/>
              <w:ind w:left="7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Board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Trustees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the Fund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administration, management and control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Fund shall be vested in a Board of Trustees constituted 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hereinafter provided.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288" w:right="1584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Pragnabandu Scholarship Trust Fund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(Incorporation)</w:t>
            </w:r>
          </w:p>
        </w:tc>
      </w:tr>
    </w:tbl>
    <w:p>
      <w:pPr>
        <w:autoSpaceDN w:val="0"/>
        <w:autoSpaceDE w:val="0"/>
        <w:widowControl/>
        <w:spacing w:line="257" w:lineRule="auto" w:before="192" w:after="0"/>
        <w:ind w:left="1702" w:right="2514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board, beneficiaries and all persons entitled thereto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parties respectively, to grants and such deeds that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duly executed including any supplemental or amended </w:t>
      </w:r>
      <w:r>
        <w:rPr>
          <w:rFonts w:ascii="Times" w:hAnsi="Times" w:eastAsia="Times"/>
          <w:b w:val="0"/>
          <w:i w:val="0"/>
          <w:color w:val="221F1F"/>
          <w:sz w:val="20"/>
        </w:rPr>
        <w:t>instrument that is incorporated or executed thereof.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2" w:lineRule="auto" w:before="320" w:after="262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Board of Trustees of the Fund (hereinafter referred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as “the Board”) shall consist of the following members:-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0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founder;</w:t>
            </w:r>
          </w:p>
        </w:tc>
      </w:tr>
      <w:tr>
        <w:trPr>
          <w:trHeight w:hRule="exact" w:val="58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chairman;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persons for the time being holding</w:t>
            </w:r>
          </w:p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 as-</w:t>
            </w:r>
          </w:p>
        </w:tc>
      </w:tr>
    </w:tbl>
    <w:p>
      <w:pPr>
        <w:autoSpaceDN w:val="0"/>
        <w:tabs>
          <w:tab w:pos="2922" w:val="left"/>
        </w:tabs>
        <w:autoSpaceDE w:val="0"/>
        <w:widowControl/>
        <w:spacing w:line="252" w:lineRule="auto" w:before="222" w:after="0"/>
        <w:ind w:left="26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the Secretary to the Ministry of Higher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Education</w:t>
      </w:r>
    </w:p>
    <w:p>
      <w:pPr>
        <w:autoSpaceDN w:val="0"/>
        <w:tabs>
          <w:tab w:pos="2922" w:val="left"/>
        </w:tabs>
        <w:autoSpaceDE w:val="0"/>
        <w:widowControl/>
        <w:spacing w:line="252" w:lineRule="auto" w:before="278" w:after="198"/>
        <w:ind w:left="26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the Secretary to the Ministry of the Minister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charge of the subject of Education;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Five persons appointed by the founder (here in after</w:t>
            </w:r>
          </w:p>
        </w:tc>
      </w:tr>
    </w:tbl>
    <w:p>
      <w:pPr>
        <w:autoSpaceDN w:val="0"/>
        <w:autoSpaceDE w:val="0"/>
        <w:widowControl/>
        <w:spacing w:line="252" w:lineRule="auto" w:before="1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as, appointed members), for a period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five years: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278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Provided, however, that the two present Trustees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than those referred to in paragraph 11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Deed shall be deemed to be the first appointed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members under this Act.</w:t>
      </w:r>
    </w:p>
    <w:p>
      <w:pPr>
        <w:autoSpaceDN w:val="0"/>
        <w:autoSpaceDE w:val="0"/>
        <w:widowControl/>
        <w:spacing w:line="252" w:lineRule="auto" w:before="27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the demise of the Founder the Trustees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appoint the Trustees as referred to in "(d)"'above.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82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founder or his Nominee or the Nominee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Nominee shall be the Chairman of the Fund.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1296" w:right="288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Pragnabandu Scholarship Trust Fund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tabs>
          <w:tab w:pos="2098" w:val="left"/>
        </w:tabs>
        <w:autoSpaceDE w:val="0"/>
        <w:widowControl/>
        <w:spacing w:line="245" w:lineRule="auto" w:before="18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members present at the first meeting of the Board </w:t>
      </w:r>
      <w:r>
        <w:rPr>
          <w:rFonts w:ascii="Times" w:hAnsi="Times" w:eastAsia="Times"/>
          <w:b w:val="0"/>
          <w:i w:val="0"/>
          <w:color w:val="221F1F"/>
          <w:sz w:val="20"/>
        </w:rPr>
        <w:t>shall elect one from them to be the Chairman of the Board.</w:t>
      </w:r>
    </w:p>
    <w:p>
      <w:pPr>
        <w:autoSpaceDN w:val="0"/>
        <w:autoSpaceDE w:val="0"/>
        <w:widowControl/>
        <w:spacing w:line="235" w:lineRule="auto" w:before="254" w:after="8"/>
        <w:ind w:left="20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An appointed member of the Board may at any time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resign his office by written communication addressed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Chairman.</w:t>
            </w:r>
          </w:p>
        </w:tc>
      </w:tr>
    </w:tbl>
    <w:p>
      <w:pPr>
        <w:autoSpaceDN w:val="0"/>
        <w:tabs>
          <w:tab w:pos="2098" w:val="left"/>
        </w:tabs>
        <w:autoSpaceDE w:val="0"/>
        <w:widowControl/>
        <w:spacing w:line="245" w:lineRule="auto" w:before="19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 person shall be disqualified from being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>or  continuing in office as a member of the Board if he is:-</w:t>
      </w:r>
    </w:p>
    <w:p>
      <w:pPr>
        <w:autoSpaceDN w:val="0"/>
        <w:tabs>
          <w:tab w:pos="2092" w:val="left"/>
          <w:tab w:pos="2518" w:val="left"/>
        </w:tabs>
        <w:autoSpaceDE w:val="0"/>
        <w:widowControl/>
        <w:spacing w:line="247" w:lineRule="auto" w:before="292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person who, having been declared an insolvent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bankrupt under any law in force in Sri Lanka or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country, is an undischarged insolvent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bankrupt; or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64"/>
        <w:ind w:left="20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convicted of an offence involving moral turpitude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punishable with imprisonment for a term not less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than six months;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any law in force in Sri Lanka, found or declared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0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be of unsound mind or mentally deficient.</w:t>
      </w:r>
    </w:p>
    <w:p>
      <w:pPr>
        <w:autoSpaceDN w:val="0"/>
        <w:tabs>
          <w:tab w:pos="1798" w:val="left"/>
          <w:tab w:pos="2098" w:val="left"/>
        </w:tabs>
        <w:autoSpaceDE w:val="0"/>
        <w:widowControl/>
        <w:spacing w:line="247" w:lineRule="auto" w:before="25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Where an appointed member of the Board vacates 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by death, resignation or otherwise before the expiry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term of office, his successor shall hold office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unexpired portion of the term of office of </w:t>
      </w:r>
      <w:r>
        <w:rPr>
          <w:rFonts w:ascii="Times" w:hAnsi="Times" w:eastAsia="Times"/>
          <w:b w:val="0"/>
          <w:i w:val="0"/>
          <w:color w:val="221F1F"/>
          <w:sz w:val="20"/>
        </w:rPr>
        <w:t>his predecessor.</w:t>
      </w:r>
    </w:p>
    <w:p>
      <w:pPr>
        <w:autoSpaceDN w:val="0"/>
        <w:autoSpaceDE w:val="0"/>
        <w:widowControl/>
        <w:spacing w:line="245" w:lineRule="auto" w:before="254" w:after="0"/>
        <w:ind w:left="1796" w:right="2304" w:firstLine="2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of the board shall unless otherwise decide, </w:t>
      </w:r>
      <w:r>
        <w:rPr>
          <w:rFonts w:ascii="Times" w:hAnsi="Times" w:eastAsia="Times"/>
          <w:b w:val="0"/>
          <w:i w:val="0"/>
          <w:color w:val="221F1F"/>
          <w:sz w:val="20"/>
        </w:rPr>
        <w:t>continue to remain to be in office until the Trust is discontinued.</w:t>
      </w:r>
    </w:p>
    <w:p>
      <w:pPr>
        <w:autoSpaceDN w:val="0"/>
        <w:tabs>
          <w:tab w:pos="1798" w:val="left"/>
          <w:tab w:pos="2096" w:val="left"/>
        </w:tabs>
        <w:autoSpaceDE w:val="0"/>
        <w:widowControl/>
        <w:spacing w:line="247" w:lineRule="auto" w:before="25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(7)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 The Chairman of the Board shall preside at all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>meetings of the Board.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In the absence of the Chairman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from any meeting, the members present at such meeting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shall elect from among themselves a Chairman for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meeting.</w:t>
      </w:r>
    </w:p>
    <w:p>
      <w:pPr>
        <w:autoSpaceDN w:val="0"/>
        <w:autoSpaceDE w:val="0"/>
        <w:widowControl/>
        <w:spacing w:line="254" w:lineRule="auto" w:before="254" w:after="0"/>
        <w:ind w:left="1296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In the event of any difference of opinion between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of the Board, the decision of the majority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binding and effectual.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288" w:right="1584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Pragnabandu Scholarship Trust Fund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(Incorporation)</w:t>
            </w:r>
          </w:p>
        </w:tc>
      </w:tr>
    </w:tbl>
    <w:p>
      <w:pPr>
        <w:autoSpaceDN w:val="0"/>
        <w:autoSpaceDE w:val="0"/>
        <w:widowControl/>
        <w:spacing w:line="271" w:lineRule="auto" w:before="204" w:after="0"/>
        <w:ind w:left="1702" w:right="2516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No act or proceeding of the Board shall be deemed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invalid by reason only of the existence of any vacancy </w:t>
      </w:r>
      <w:r>
        <w:rPr>
          <w:rFonts w:ascii="Times" w:hAnsi="Times" w:eastAsia="Times"/>
          <w:b w:val="0"/>
          <w:i w:val="0"/>
          <w:color w:val="221F1F"/>
          <w:sz w:val="20"/>
        </w:rPr>
        <w:t>amongst its members.</w:t>
      </w:r>
    </w:p>
    <w:p>
      <w:pPr>
        <w:autoSpaceDN w:val="0"/>
        <w:tabs>
          <w:tab w:pos="1702" w:val="left"/>
          <w:tab w:pos="2002" w:val="left"/>
        </w:tabs>
        <w:autoSpaceDE w:val="0"/>
        <w:widowControl/>
        <w:spacing w:line="262" w:lineRule="auto" w:before="320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(10) The quorum for any meeting of the Board shall be four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members.</w:t>
      </w:r>
    </w:p>
    <w:p>
      <w:pPr>
        <w:autoSpaceDN w:val="0"/>
        <w:autoSpaceDE w:val="0"/>
        <w:widowControl/>
        <w:spacing w:line="269" w:lineRule="auto" w:before="322" w:after="226"/>
        <w:ind w:left="1702" w:right="2516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(11)Subject to the provisions of subsection(10), he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make rules to regulate the procedure in regard to its meetings </w:t>
      </w:r>
      <w:r>
        <w:rPr>
          <w:rFonts w:ascii="Times" w:hAnsi="Times" w:eastAsia="Times"/>
          <w:b w:val="0"/>
          <w:i w:val="0"/>
          <w:color w:val="221F1F"/>
          <w:sz w:val="20"/>
        </w:rPr>
        <w:t>and the transaction of business at such 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7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6" w:after="0"/>
              <w:ind w:left="0" w:right="1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seal of the Fund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2" w:after="0"/>
              <w:ind w:left="6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The seal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the Fund</w:t>
            </w:r>
          </w:p>
        </w:tc>
      </w:tr>
      <w:tr>
        <w:trPr>
          <w:trHeight w:hRule="exact" w:val="416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in the custody of such person as the Board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2" w:after="0"/>
        <w:ind w:left="0" w:right="39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may from time to time determine;</w:t>
      </w:r>
    </w:p>
    <w:p>
      <w:pPr>
        <w:autoSpaceDN w:val="0"/>
        <w:tabs>
          <w:tab w:pos="2422" w:val="left"/>
        </w:tabs>
        <w:autoSpaceDE w:val="0"/>
        <w:widowControl/>
        <w:spacing w:line="269" w:lineRule="auto" w:before="320" w:after="256"/>
        <w:ind w:left="19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altered in such manner as may be determined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Board;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not be affixed to any document except with the</w:t>
            </w:r>
          </w:p>
        </w:tc>
      </w:tr>
    </w:tbl>
    <w:p>
      <w:pPr>
        <w:autoSpaceDN w:val="0"/>
        <w:autoSpaceDE w:val="0"/>
        <w:widowControl/>
        <w:spacing w:line="269" w:lineRule="auto" w:before="24" w:after="22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sanction of the Board and in the presence of two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Board who shall sign the document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token of their presence.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4" w:after="0"/>
              <w:ind w:left="0" w:right="1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aims and objects of the Fund shall be-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6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Aims and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Fund</w:t>
            </w:r>
          </w:p>
        </w:tc>
      </w:tr>
      <w:tr>
        <w:trPr>
          <w:trHeight w:hRule="exact" w:val="430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scholarships to deserving youth who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424" w:val="left"/>
        </w:tabs>
        <w:autoSpaceDE w:val="0"/>
        <w:widowControl/>
        <w:spacing w:line="278" w:lineRule="auto" w:before="24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completed their primary education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satisfactorily, so as to enable them to complete their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higher education to develop their industrial and/or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technical and/or vocational skills and competence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a technical and/ or higher educational institute,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the case may be;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2" w:after="0"/>
              <w:ind w:left="0" w:right="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(b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3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Pragnabandu Scholarship Trust Fund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  <w:tr>
        <w:trPr>
          <w:trHeight w:hRule="exact" w:val="77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38" w:val="left"/>
              </w:tabs>
              <w:autoSpaceDE w:val="0"/>
              <w:widowControl/>
              <w:spacing w:line="376" w:lineRule="exact" w:before="0" w:after="0"/>
              <w:ind w:left="118" w:right="1152" w:firstLine="0"/>
              <w:jc w:val="left"/>
            </w:pP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(Incorporation)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set up and/or assist in the setting up and/or other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78" w:lineRule="auto" w:before="2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educational areas and/or establishments and/or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of technical and/or higher educational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institutes schools, foundations and similar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engaged in the furtherance of education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and/or any other higher education;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71" w:lineRule="auto" w:before="326" w:after="24"/>
        <w:ind w:left="210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provide assistance for the development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lmprovement of the skills and competence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lecturers, teachers, and such persons engaged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furtherance of the technical education;</w:t>
            </w:r>
          </w:p>
        </w:tc>
      </w:tr>
      <w:tr>
        <w:trPr>
          <w:trHeight w:hRule="exact" w:val="4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do all and/ or other things necessary or expedient</w:t>
            </w:r>
          </w:p>
        </w:tc>
      </w:tr>
    </w:tbl>
    <w:p>
      <w:pPr>
        <w:autoSpaceDN w:val="0"/>
        <w:autoSpaceDE w:val="0"/>
        <w:widowControl/>
        <w:spacing w:line="235" w:lineRule="auto" w:before="24" w:after="266"/>
        <w:ind w:left="0" w:right="28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carry out the aims and objects of the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Board shall, in the name of the Fund, have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2" w:after="0"/>
              <w:ind w:left="7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Powers and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functions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the Board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power to do all things necessary for, or conducive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incidental to, the carrying out of the objects of the Fund.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1" w:lineRule="auto" w:before="266" w:after="266"/>
        <w:ind w:left="1798" w:right="2422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Without prejudice to the generality of the powers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conferred by Subsection (1), the Board shall have the </w:t>
      </w:r>
      <w:r>
        <w:rPr>
          <w:rFonts w:ascii="Times" w:hAnsi="Times" w:eastAsia="Times"/>
          <w:b w:val="0"/>
          <w:i w:val="0"/>
          <w:color w:val="221F1F"/>
          <w:sz w:val="20"/>
        </w:rPr>
        <w:t>following powers and functions: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raise funds and to receive grants, gifts, or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donations, in cash or kind, whether from local or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0" w:right="51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foreign sources;</w:t>
      </w:r>
    </w:p>
    <w:p>
      <w:pPr>
        <w:autoSpaceDN w:val="0"/>
        <w:tabs>
          <w:tab w:pos="2092" w:val="left"/>
          <w:tab w:pos="2518" w:val="left"/>
        </w:tabs>
        <w:autoSpaceDE w:val="0"/>
        <w:widowControl/>
        <w:spacing w:line="281" w:lineRule="auto" w:before="32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take or hold any property, movable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immovable, which may becom vested in it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or by virtue of any purchase, grant,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gift,testamentary disposition or otherwise, and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sell, mortgage, lease, grant, convey, devise, assign,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exchange or otherwise dispose of, any property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which the Fund may become entitled;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1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Pragnabandu Scholarship Trust Fund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112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(Incorporation)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give grant, endowments or scholarship locally</w:t>
            </w:r>
          </w:p>
        </w:tc>
      </w:tr>
    </w:tbl>
    <w:p>
      <w:pPr>
        <w:autoSpaceDN w:val="0"/>
        <w:autoSpaceDE w:val="0"/>
        <w:widowControl/>
        <w:spacing w:line="262" w:lineRule="auto" w:before="24" w:after="26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and; abroad, for the furtherance of the objects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Fund;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enter into and perform, either directly or through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 and servants or agents authorized in writing</w:t>
            </w:r>
          </w:p>
        </w:tc>
      </w:tr>
    </w:tbl>
    <w:p>
      <w:pPr>
        <w:autoSpaceDN w:val="0"/>
        <w:autoSpaceDE w:val="0"/>
        <w:widowControl/>
        <w:spacing w:line="276" w:lineRule="auto" w:before="24" w:after="2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that behalf by the Board, all such contracts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as may be necessary for the exercise,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and discharge of the powers, duties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functions, and for carrying out the objects,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Fund;</w:t>
            </w:r>
          </w:p>
        </w:tc>
      </w:tr>
      <w:tr>
        <w:trPr>
          <w:trHeight w:hRule="exact" w:val="4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 to appoint,</w:t>
            </w:r>
          </w:p>
        </w:tc>
      </w:tr>
    </w:tbl>
    <w:p>
      <w:pPr>
        <w:autoSpaceDN w:val="0"/>
        <w:tabs>
          <w:tab w:pos="2422" w:val="left"/>
          <w:tab w:pos="2424" w:val="left"/>
        </w:tabs>
        <w:autoSpaceDE w:val="0"/>
        <w:widowControl/>
        <w:spacing w:line="278" w:lineRule="auto" w:before="2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 and remunerate officers and servants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 and to make rules regarding the appointment,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promotion, remuneration and disciplinary control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its employees and the grant of leave and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benefits to them;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62" w:lineRule="auto" w:before="326" w:after="266"/>
        <w:ind w:left="204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erect or cause to be erected any building or structure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any land belonging to or held by the Fund;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invest moneys belonging to the Fund at the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discretion of the Board in any such investment</w:t>
            </w:r>
          </w:p>
        </w:tc>
      </w:tr>
    </w:tbl>
    <w:p>
      <w:pPr>
        <w:autoSpaceDN w:val="0"/>
        <w:autoSpaceDE w:val="0"/>
        <w:widowControl/>
        <w:spacing w:line="276" w:lineRule="auto" w:before="26" w:after="2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 are authorized by law for the investment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money including trust money and to recall, re-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 and vary such investment. It is at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discretion of the Board and to collect income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1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accruing from such investments;</w:t>
            </w:r>
          </w:p>
        </w:tc>
      </w:tr>
      <w:tr>
        <w:trPr>
          <w:trHeight w:hRule="exact" w:val="4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open, operate and close bank accounts and to</w:t>
            </w:r>
          </w:p>
        </w:tc>
      </w:tr>
    </w:tbl>
    <w:p>
      <w:pPr>
        <w:autoSpaceDN w:val="0"/>
        <w:autoSpaceDE w:val="0"/>
        <w:widowControl/>
        <w:spacing w:line="271" w:lineRule="auto" w:before="24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borrow or raise money with the property of the Fund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security, or without such security,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Purposes of the Fund;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3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Pragnabandu Scholarship Trust Fund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  <w:tr>
        <w:trPr>
          <w:trHeight w:hRule="exact" w:val="75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38" w:val="left"/>
              </w:tabs>
              <w:autoSpaceDE w:val="0"/>
              <w:widowControl/>
              <w:spacing w:line="370" w:lineRule="exact" w:before="0" w:after="0"/>
              <w:ind w:left="118" w:right="1152" w:firstLine="0"/>
              <w:jc w:val="left"/>
            </w:pP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(Incorporation)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 may on behalf of the Trust, reasonably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64" w:lineRule="auto" w:before="16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seek advice from any company, person, business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entity or a business on Banking, Financial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 advice, Legal advice or any related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 and all consultation fees will be borne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Trust,</w:t>
      </w:r>
    </w:p>
    <w:p>
      <w:pPr>
        <w:autoSpaceDN w:val="0"/>
        <w:tabs>
          <w:tab w:pos="2518" w:val="left"/>
          <w:tab w:pos="2716" w:val="left"/>
        </w:tabs>
        <w:autoSpaceDE w:val="0"/>
        <w:widowControl/>
        <w:spacing w:line="266" w:lineRule="auto" w:before="292" w:after="234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Board may if needed, appoint a Legal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Advisor, he shall participate in meetings as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invitee although he may not be a member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Board' The said Advisor shall only possess power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 decisions relating to the advice and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anything relating to the Trust;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do all such other acts and things as are incidental or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194" w:after="0"/>
              <w:ind w:left="7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Payments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into the Fund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2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conducive to the carrying out of the objects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1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shall be Paid into the Fund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funds raised or grants, gifts or donations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23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received locally or from abroad or moneys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realized or collected;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grant received from the Government from time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time for the purpose of carrying out the aims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objects of the Fund; and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90" w:after="218"/>
        <w:ind w:left="210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income from investments or other receipts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due to the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0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shall be Paid out of  the Fund -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6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Payments out</w:t>
            </w:r>
          </w:p>
        </w:tc>
      </w:tr>
    </w:tbl>
    <w:p>
      <w:pPr>
        <w:autoSpaceDN w:val="0"/>
        <w:autoSpaceDE w:val="0"/>
        <w:widowControl/>
        <w:spacing w:line="212" w:lineRule="exact" w:before="4" w:after="0"/>
        <w:ind w:left="0" w:right="1522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of the Fund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4" w:lineRule="auto" w:before="74" w:after="0"/>
        <w:ind w:left="20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Expenses necessary for the working,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establishment and maintenance of the Fund;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1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Pragnabandu Scholarship Trust Fund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112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(Incorporation)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payment of salaries to officers, servants and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7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other employees; and</w:t>
      </w:r>
    </w:p>
    <w:p>
      <w:pPr>
        <w:autoSpaceDN w:val="0"/>
        <w:autoSpaceDE w:val="0"/>
        <w:widowControl/>
        <w:spacing w:line="254" w:lineRule="auto" w:before="292" w:after="16"/>
        <w:ind w:left="2362" w:right="2448" w:hanging="36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such other payments as are approved by the Board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being necessary for the purpose of carrying out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Fund.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86" w:after="0"/>
              <w:ind w:left="6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Contracts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the Trust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Fund deemed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to be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those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contracts, agreements, debts and liabilities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said Trust Fund existing at the time of coming into operation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 shall be deemed to be the contracts, agreements,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debts and liabilities of the Corporation hereby constituted.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8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Board shall cause proper books of accounts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22" w:after="0"/>
              <w:ind w:left="6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Accounts and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auditing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kept of the income and expenditure, assets and liabilities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all other transction of the fund.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66" w:lineRule="auto" w:before="292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Board shall cause its books to be balanced as on thc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thirty-first day of December in each year and shall, before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thirty first day of March next, cause to be prepared, an income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expenditure account and a balance sheet containing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summary of the assets and liabilities of the Fund made up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first-mentioned date.</w:t>
      </w:r>
    </w:p>
    <w:p>
      <w:pPr>
        <w:autoSpaceDN w:val="0"/>
        <w:tabs>
          <w:tab w:pos="1702" w:val="left"/>
          <w:tab w:pos="1904" w:val="left"/>
        </w:tabs>
        <w:autoSpaceDE w:val="0"/>
        <w:widowControl/>
        <w:spacing w:line="259" w:lineRule="auto" w:before="294" w:after="234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income and expenditure account and the balance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sheet shall be signed by two members of the Board authorized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do so by a resolution passed by the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9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financial year of the Fund shall be the Calendar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0" w:after="0"/>
              <w:ind w:left="6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Financial year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the Fund</w:t>
            </w:r>
          </w:p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Year.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Fund shall be exempt from the payment of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92" w:after="0"/>
              <w:ind w:left="6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Exemption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of Fund from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certain duties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and taxes</w:t>
            </w:r>
          </w:p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customs and import duty on any goods imported for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purposes of achieving the aims and objects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Fund.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1902" w:val="left"/>
        </w:tabs>
        <w:autoSpaceDE w:val="0"/>
        <w:widowControl/>
        <w:spacing w:line="257" w:lineRule="auto" w:before="170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Fund shall be exempt from any income tax or wealth </w:t>
      </w:r>
      <w:r>
        <w:rPr>
          <w:rFonts w:ascii="Times" w:hAnsi="Times" w:eastAsia="Times"/>
          <w:b w:val="0"/>
          <w:i w:val="0"/>
          <w:color w:val="221F1F"/>
          <w:sz w:val="20"/>
        </w:rPr>
        <w:t>tax payable under the Inland Revenue Act No.10 of 2021.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1296" w:right="288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Pragnabandu Scholarship Trust Fund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47" w:lineRule="auto" w:before="184" w:after="196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any person makes a gift to the Fund, he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exempt from the payment of gifts tax under the Inland Revenue </w:t>
      </w:r>
      <w:r>
        <w:rPr>
          <w:rFonts w:ascii="Times" w:hAnsi="Times" w:eastAsia="Times"/>
          <w:b w:val="0"/>
          <w:i w:val="0"/>
          <w:color w:val="221F1F"/>
          <w:sz w:val="20"/>
        </w:rPr>
        <w:t>Act No.10, of 2021, to the extent of the total value of the gift.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any person makes a donation to the Fund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during any year of assessment, such donation shall be deemed</w:t>
            </w:r>
          </w:p>
        </w:tc>
      </w:tr>
    </w:tbl>
    <w:p>
      <w:pPr>
        <w:autoSpaceDN w:val="0"/>
        <w:autoSpaceDE w:val="0"/>
        <w:widowControl/>
        <w:spacing w:line="250" w:lineRule="auto" w:before="8" w:after="174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an approved expenditure for the purposes of the Inland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Revenue Act No.10 of 2021, and the donor shall be entitled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relief under that Act in respect of the total value of such </w:t>
      </w:r>
      <w:r>
        <w:rPr>
          <w:rFonts w:ascii="Times" w:hAnsi="Times" w:eastAsia="Times"/>
          <w:b w:val="0"/>
          <w:i w:val="0"/>
          <w:color w:val="221F1F"/>
          <w:sz w:val="20"/>
        </w:rPr>
        <w:t>donation.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7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No suit or prosecution shall be instituted against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Protection of</w:t>
            </w:r>
          </w:p>
        </w:tc>
      </w:tr>
      <w:tr>
        <w:trPr>
          <w:trHeight w:hRule="exact" w:val="19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 of the Board or any officer, Servant or agent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the Board and</w:t>
            </w:r>
          </w:p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Fund appointed for the purposes of this Act, for any act which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officers of</w:t>
            </w:r>
          </w:p>
        </w:tc>
      </w:tr>
      <w:tr>
        <w:trPr>
          <w:trHeight w:hRule="exact" w:val="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in good faith done or purported to be done by such member,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the Fund for</w:t>
            </w:r>
          </w:p>
        </w:tc>
      </w:tr>
      <w:tr>
        <w:trPr>
          <w:trHeight w:hRule="exact" w:val="21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officer, Servant or agent under this Act, or on the direction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action under</w:t>
            </w:r>
          </w:p>
        </w:tc>
      </w:tr>
      <w:tr>
        <w:trPr>
          <w:trHeight w:hRule="exact" w:val="30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this</w:t>
            </w:r>
          </w:p>
        </w:tc>
      </w:tr>
    </w:tbl>
    <w:p>
      <w:pPr>
        <w:autoSpaceDN w:val="0"/>
        <w:autoSpaceDE w:val="0"/>
        <w:widowControl/>
        <w:spacing w:line="247" w:lineRule="auto" w:before="196" w:after="8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expense incurred by the Fund in any suit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prosecution brought by or against the Fund before any court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paid out of the Fund, and any costs paid to, or re-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covered by, the Fund in any such suit or prosecution shall,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credited to the Fund.</w:t>
            </w:r>
          </w:p>
        </w:tc>
      </w:tr>
    </w:tbl>
    <w:p>
      <w:pPr>
        <w:autoSpaceDN w:val="0"/>
        <w:autoSpaceDE w:val="0"/>
        <w:widowControl/>
        <w:spacing w:line="247" w:lineRule="auto" w:before="198" w:after="8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expense incurred by any such person as ls referred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 subsection (1) in any suit or prosecution brought against </w:t>
      </w:r>
      <w:r>
        <w:rPr>
          <w:rFonts w:ascii="Times" w:hAnsi="Times" w:eastAsia="Times"/>
          <w:b w:val="0"/>
          <w:i w:val="0"/>
          <w:color w:val="221F1F"/>
          <w:sz w:val="20"/>
        </w:rPr>
        <w:t>him before all court in respect of any act which is done or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purported to be done by him under this Act or on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direction of the Board shall, if the court holds that such act</w:t>
            </w:r>
          </w:p>
        </w:tc>
      </w:tr>
    </w:tbl>
    <w:p>
      <w:pPr>
        <w:autoSpaceDN w:val="0"/>
        <w:autoSpaceDE w:val="0"/>
        <w:widowControl/>
        <w:spacing w:line="252" w:lineRule="auto" w:before="6" w:after="23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was done in good faith, be paid out of the Fund unless such </w:t>
      </w:r>
      <w:r>
        <w:rPr>
          <w:rFonts w:ascii="Times" w:hAnsi="Times" w:eastAsia="Times"/>
          <w:b w:val="0"/>
          <w:i w:val="0"/>
          <w:color w:val="221F1F"/>
          <w:sz w:val="20"/>
        </w:rPr>
        <w:t>expense is recovered by him in such suit or prosecution.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 writ against person or property shall be issued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No write to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against any member of the board or any officer, servant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issue against</w:t>
            </w:r>
          </w:p>
        </w:tc>
      </w:tr>
      <w:tr>
        <w:trPr>
          <w:trHeight w:hRule="exact" w:val="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person or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agent of the Fund in any action brought against the Fund.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property of a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member of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the Board or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officer c. of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the Fund Act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6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31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Pragnabandu Scholarship Trust Fund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8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Officers and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All officers and servants of the Fund shall be deemed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public servants within the meaning, and for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servants of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the Fund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purposes of the Penal code.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deemed to</w:t>
            </w:r>
          </w:p>
        </w:tc>
      </w:tr>
      <w:tr>
        <w:trPr>
          <w:trHeight w:hRule="exact" w:val="20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4" w:after="0"/>
              <w:ind w:left="18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Fund shall be deemed to be scheduled institution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be public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servants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under Penal</w:t>
            </w:r>
          </w:p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Code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6" w:after="0"/>
              <w:ind w:left="8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The Fund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deemed to be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scheduled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institution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within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meaning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the Bribery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Act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the meaning of the Bribery Act and the provisions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Act shall accordingly apply.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provisions of this Act shall have effect not with-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2" w:after="0"/>
              <w:ind w:left="8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Provision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this Act to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prevail over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provisions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the Deed</w:t>
            </w:r>
          </w:p>
        </w:tc>
      </w:tr>
      <w:tr>
        <w:trPr>
          <w:trHeight w:hRule="exact" w:val="2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standing anything contained in the Deed, and accordingly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conflict between the provisions of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and the provisions of the Deed, the provisions of this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278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Act shall prevail.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9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Nothing in this Act contained shall prejudice or affect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2" w:after="0"/>
              <w:ind w:left="6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Saving of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rights of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Republic and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rights of the Republic, or of any body politic or corporate,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of any other persons, except such as are mentioned in this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and those claiming by, from or under them.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26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  <w:tr>
        <w:trPr>
          <w:trHeight w:hRule="exact" w:val="4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this Act, "founder" means the person referred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as such in the third paragraph of the Preamble to the Deed</w:t>
      </w:r>
    </w:p>
    <w:p>
      <w:pPr>
        <w:autoSpaceDN w:val="0"/>
        <w:autoSpaceDE w:val="0"/>
        <w:widowControl/>
        <w:spacing w:line="238" w:lineRule="auto" w:before="5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who will be a board member for life, and upon his death</w:t>
      </w:r>
    </w:p>
    <w:p>
      <w:pPr>
        <w:autoSpaceDN w:val="0"/>
        <w:autoSpaceDE w:val="0"/>
        <w:widowControl/>
        <w:spacing w:line="235" w:lineRule="auto" w:before="5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or retirement shall mean an assignee nominated by him</w:t>
      </w:r>
    </w:p>
    <w:p>
      <w:pPr>
        <w:autoSpaceDN w:val="0"/>
        <w:tabs>
          <w:tab w:pos="1702" w:val="left"/>
        </w:tabs>
        <w:autoSpaceDE w:val="0"/>
        <w:widowControl/>
        <w:spacing w:line="250" w:lineRule="auto" w:before="56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substitute him.</w:t>
      </w:r>
    </w:p>
    <w:p>
      <w:pPr>
        <w:autoSpaceDN w:val="0"/>
        <w:autoSpaceDE w:val="0"/>
        <w:widowControl/>
        <w:spacing w:line="235" w:lineRule="auto" w:before="330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"Authorised Investments" includes any fixed Deposits,</w:t>
      </w:r>
    </w:p>
    <w:p>
      <w:pPr>
        <w:autoSpaceDN w:val="0"/>
        <w:autoSpaceDE w:val="0"/>
        <w:widowControl/>
        <w:spacing w:line="238" w:lineRule="auto" w:before="5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Government Treasury Bills, Treasury Bonds or</w:t>
      </w:r>
    </w:p>
    <w:p>
      <w:pPr>
        <w:autoSpaceDN w:val="0"/>
        <w:autoSpaceDE w:val="0"/>
        <w:widowControl/>
        <w:spacing w:line="238" w:lineRule="auto" w:before="58" w:after="0"/>
        <w:ind w:left="0" w:right="31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other Government-backed investments.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1296" w:right="288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Pragnabandu Scholarship Trust Fund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45" w:lineRule="auto" w:before="184" w:after="0"/>
        <w:ind w:left="2758" w:right="2304" w:hanging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"Bank" means any State-Owned Bank or Savings Bank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established under the Government of Sri Lanka.</w:t>
      </w:r>
    </w:p>
    <w:p>
      <w:pPr>
        <w:autoSpaceDN w:val="0"/>
        <w:tabs>
          <w:tab w:pos="2278" w:val="left"/>
          <w:tab w:pos="2758" w:val="left"/>
        </w:tabs>
        <w:autoSpaceDE w:val="0"/>
        <w:widowControl/>
        <w:spacing w:line="245" w:lineRule="auto" w:before="25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"Trust Deed" means, deeds that is duly executed including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supplemental or amended instrument that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incorporated or executed thereof.</w:t>
      </w:r>
    </w:p>
    <w:p>
      <w:pPr>
        <w:autoSpaceDN w:val="0"/>
        <w:tabs>
          <w:tab w:pos="2758" w:val="left"/>
        </w:tabs>
        <w:autoSpaceDE w:val="0"/>
        <w:widowControl/>
        <w:spacing w:line="245" w:lineRule="auto" w:before="314" w:after="0"/>
        <w:ind w:left="22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"Trustee" includes original trustees, substitute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additional during the period of Trust</w:t>
      </w:r>
    </w:p>
    <w:p>
      <w:pPr>
        <w:autoSpaceDN w:val="0"/>
        <w:tabs>
          <w:tab w:pos="2278" w:val="left"/>
          <w:tab w:pos="2758" w:val="left"/>
        </w:tabs>
        <w:autoSpaceDE w:val="0"/>
        <w:widowControl/>
        <w:spacing w:line="247" w:lineRule="auto" w:before="31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"Trust Fund" includes initial fund, subsequent funds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all other income and expenses generated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Trustees including any interests of the initial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fund, subsequent funds by the Trustees.......</w:t>
      </w:r>
    </w:p>
    <w:p>
      <w:pPr>
        <w:autoSpaceDN w:val="0"/>
        <w:autoSpaceDE w:val="0"/>
        <w:widowControl/>
        <w:spacing w:line="235" w:lineRule="auto" w:before="5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The initial trust fund of this Trust is 10 million.</w:t>
      </w:r>
    </w:p>
    <w:p>
      <w:pPr>
        <w:autoSpaceDN w:val="0"/>
        <w:tabs>
          <w:tab w:pos="2278" w:val="left"/>
          <w:tab w:pos="2758" w:val="left"/>
        </w:tabs>
        <w:autoSpaceDE w:val="0"/>
        <w:widowControl/>
        <w:spacing w:line="250" w:lineRule="auto" w:before="29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"Person" means any individual in any given place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Lanka, it also includes a Board Member or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Legal Entity.</w:t>
      </w:r>
    </w:p>
    <w:p>
      <w:pPr>
        <w:autoSpaceDN w:val="0"/>
        <w:autoSpaceDE w:val="0"/>
        <w:widowControl/>
        <w:spacing w:line="238" w:lineRule="auto" w:before="242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"Beneficiaries" include, deserving youth who have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0"/>
        </w:trPr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completed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their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primary 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education</w:t>
            </w:r>
          </w:p>
        </w:tc>
      </w:tr>
    </w:tbl>
    <w:p>
      <w:pPr>
        <w:autoSpaceDN w:val="0"/>
        <w:autoSpaceDE w:val="0"/>
        <w:widowControl/>
        <w:spacing w:line="245" w:lineRule="auto" w:before="6" w:after="6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satisfactorily, so as to enable them to complete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their higher education and lecturers, teachers,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5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5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such persons engaged in the furtherance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development and improvement of the skills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48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competence.</w:t>
      </w:r>
    </w:p>
    <w:p>
      <w:pPr>
        <w:autoSpaceDN w:val="0"/>
        <w:tabs>
          <w:tab w:pos="2758" w:val="left"/>
        </w:tabs>
        <w:autoSpaceDE w:val="0"/>
        <w:widowControl/>
        <w:spacing w:line="245" w:lineRule="auto" w:before="252" w:after="176"/>
        <w:ind w:left="22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"Year" means as mentioned in the Preamble of the Deed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 one Calendar Year.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4" w:after="0"/>
              <w:ind w:left="7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t o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prevail in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10.0" w:type="dxa"/>
      </w:tblPr>
      <w:tblGrid>
        <w:gridCol w:w="4510"/>
        <w:gridCol w:w="4510"/>
      </w:tblGrid>
      <w:tr>
        <w:trPr>
          <w:trHeight w:hRule="exact" w:val="9384"/>
        </w:trPr>
        <w:tc>
          <w:tcPr>
            <w:tcW w:type="dxa" w:w="91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536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4" w:after="0"/>
              <w:ind w:left="288" w:right="1872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Pragnabandu Scholarship Trust Fund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(Incorporation)</w:t>
            </w:r>
          </w:p>
        </w:tc>
      </w:tr>
    </w:tbl>
    <w:p>
      <w:pPr>
        <w:autoSpaceDN w:val="0"/>
        <w:autoSpaceDE w:val="0"/>
        <w:widowControl/>
        <w:spacing w:line="238" w:lineRule="auto" w:before="3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9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