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29, 2023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04.01.2024)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SOCIAL SECURITY CONTRIBUTION LEVY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3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54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Social Security Contribution Levy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Act, No. 25 of 2022</w:t>
      </w:r>
    </w:p>
    <w:p>
      <w:pPr>
        <w:autoSpaceDN w:val="0"/>
        <w:autoSpaceDE w:val="0"/>
        <w:widowControl/>
        <w:spacing w:line="245" w:lineRule="auto" w:before="212" w:after="0"/>
        <w:ind w:left="2304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45" w:lineRule="auto" w:before="34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0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 of the Social Security Contribution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25 of 2022 (hereinafter referred to as the “principal enactment”),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decrease the turnover threshold of registration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Social Security Contribution Levy from one hundred and twenty million rupees to sixty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million rupees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annum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with effect from January 1, 2024.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5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to section 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70/2023</w:t>
      </w:r>
    </w:p>
    <w:p>
      <w:pPr>
        <w:autoSpaceDN w:val="0"/>
        <w:autoSpaceDE w:val="0"/>
        <w:widowControl/>
        <w:spacing w:line="250" w:lineRule="auto" w:before="276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50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6" w:after="198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Social Security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 Levy (Amendment) Act, No.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9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Social Security Contribution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25 of 2022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in subsection (1) thereof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 of 2022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quarter commencing prior to January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2024, not later than fifteen days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aggregate of the turnover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quarter exceeds or likely to exceed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rupees, in the case of a taxable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whom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does not apply;”; and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period commencing on or after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January 1, 2024, not later than fifteen days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on which the aggregate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 for a quarter exceeds or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fifteen million rupees or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which the aggregate of the turnover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consecutive four quarters exceeds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likely to exceed sixty million rupees.”.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562" w:val="left"/>
        </w:tabs>
        <w:autoSpaceDE w:val="0"/>
        <w:widowControl/>
        <w:spacing w:line="254" w:lineRule="auto" w:before="0" w:after="184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54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 “in section 2; or”,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“in section 2;”;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(b) thereof, by the substitution for the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66" w:lineRule="auto" w:before="16" w:after="23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“each immediately preceding four quarters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relevant quarter does not exceed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twenty million rupees.”, of the words and figures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immediately preceding four quarters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 prior to January 1, 2024,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hundred and twenty million rupees; or”;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following: -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period commencing on or  after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2024, the  aggregate  turnover 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registered  person  for a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consecutive  four  quarters  does not exceed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sixty million  rupees.”.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56"/>
        </w:trPr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990" w:after="0"/>
        <w:ind w:left="0" w:right="31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