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>COMPANIES (AMENDMENT)</w:t>
      </w:r>
    </w:p>
    <w:p>
      <w:pPr>
        <w:autoSpaceDN w:val="0"/>
        <w:autoSpaceDE w:val="0"/>
        <w:widowControl/>
        <w:spacing w:line="238" w:lineRule="auto" w:before="54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5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Companies Act, No. 07 of 2007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8" w:lineRule="auto" w:before="22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 Finance, Economic Stabilization</w:t>
      </w:r>
    </w:p>
    <w:p>
      <w:pPr>
        <w:autoSpaceDN w:val="0"/>
        <w:autoSpaceDE w:val="0"/>
        <w:widowControl/>
        <w:spacing w:line="238" w:lineRule="auto" w:before="4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343938"/>
          <w:sz w:val="20"/>
        </w:rPr>
        <w:t>and National Policies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09th of January, 2024</w:t>
      </w:r>
    </w:p>
    <w:p>
      <w:pPr>
        <w:autoSpaceDN w:val="0"/>
        <w:autoSpaceDE w:val="0"/>
        <w:widowControl/>
        <w:spacing w:line="238" w:lineRule="auto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10, 2023)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232]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96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0" w:right="3066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STATEMENT OF LEGAL EFFECT</w:t>
      </w:r>
    </w:p>
    <w:p>
      <w:pPr>
        <w:autoSpaceDN w:val="0"/>
        <w:autoSpaceDE w:val="0"/>
        <w:widowControl/>
        <w:spacing w:line="232" w:lineRule="exact" w:before="252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:  This clause amends section 427 of the Companies Act, No. 07 of 2007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(hereinafter referred to as the “principal enactment”), and the legal effect of the section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as amended is to make floating charges granted by a company subjected to the provisions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the Secured Transactions Act, No.     of 2023, as consequential to the enactment of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said Act to make provisions applicable to secured transactions in movable property.</w:t>
      </w:r>
    </w:p>
    <w:p>
      <w:pPr>
        <w:autoSpaceDN w:val="0"/>
        <w:autoSpaceDE w:val="0"/>
        <w:widowControl/>
        <w:spacing w:line="232" w:lineRule="exact" w:before="260" w:after="0"/>
        <w:ind w:left="1436" w:right="1340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:  This clause amends section 428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make provisions for the registration of any instrument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creating a floating charge over any movable property under the Secured Transactions Act,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No.    of 2023.</w:t>
      </w:r>
    </w:p>
    <w:p>
      <w:pPr>
        <w:autoSpaceDN w:val="0"/>
        <w:autoSpaceDE w:val="0"/>
        <w:widowControl/>
        <w:spacing w:line="232" w:lineRule="exact" w:before="260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:  This clause amends section 431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make the provisions of the Secured Transactions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Act, No.     of 2023 applicable when determining the priority of floating charges created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over any movable property.</w:t>
      </w:r>
    </w:p>
    <w:p>
      <w:pPr>
        <w:autoSpaceDN w:val="0"/>
        <w:autoSpaceDE w:val="0"/>
        <w:widowControl/>
        <w:spacing w:line="234" w:lineRule="exact" w:before="256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5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:  This clause inserts the new section 433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in the principal enactment to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provide for an interpretation of the term “floating charge” for the purposes of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application of the Secured Transactions Act, No.      of 2023.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10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38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0" w:right="53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188" w:after="0"/>
        <w:ind w:left="17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1"/>
        </w:rPr>
        <w:t>L.D.-O.68/2017</w:t>
      </w:r>
    </w:p>
    <w:p>
      <w:pPr>
        <w:autoSpaceDN w:val="0"/>
        <w:autoSpaceDE w:val="0"/>
        <w:widowControl/>
        <w:spacing w:line="266" w:lineRule="exact" w:before="252" w:after="0"/>
        <w:ind w:left="21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AMEND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OMPANIES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07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2007</w:t>
      </w:r>
    </w:p>
    <w:p>
      <w:pPr>
        <w:autoSpaceDN w:val="0"/>
        <w:autoSpaceDE w:val="0"/>
        <w:widowControl/>
        <w:spacing w:line="262" w:lineRule="exact" w:before="262" w:after="192"/>
        <w:ind w:left="179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10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  This Act may be cited as the Companies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4" w:after="0"/>
              <w:ind w:left="74" w:right="80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Short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title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 Act, No. of    2024.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(2)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0" w:after="0"/>
              <w:ind w:left="2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The provisions of this Act, other than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8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provisions of this section, shall come into operation 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60" w:after="0"/>
              <w:ind w:left="7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427 of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No. 07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2007</w:t>
            </w:r>
          </w:p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such date as the Minister may appoint by Order published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Gazette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6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(3) The provisions of this section shall come into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operation on the date on which the Bill becomes an Act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Parliament.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50" w:after="0"/>
              <w:ind w:left="32" w:right="0" w:firstLine="406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Section 427 of the Companies Act, No. 07 of 2007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(in this Act referred to as the “principal enactment”)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hereby amended in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 of subsection (3)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that section, by the substitution for the words and figures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0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“the provisions of the Registration of Documents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56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Ordinance (Cap.117)”, of the words and figures “the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provisions of the Secured  Transactions Act, No.   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2023”.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2" w:val="left"/>
              </w:tabs>
              <w:autoSpaceDE w:val="0"/>
              <w:widowControl/>
              <w:spacing w:line="248" w:lineRule="exact" w:before="166" w:after="0"/>
              <w:ind w:left="3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Section 428 of the principal  enactment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amended as follows: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6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428 of the</w:t>
            </w:r>
          </w:p>
        </w:tc>
      </w:tr>
      <w:tr>
        <w:trPr>
          <w:trHeight w:hRule="exact" w:val="74"/>
        </w:trPr>
        <w:tc>
          <w:tcPr>
            <w:tcW w:type="dxa" w:w="1804"/>
            <w:vMerge/>
            <w:tcBorders/>
          </w:tcPr>
          <w:p/>
        </w:tc>
        <w:tc>
          <w:tcPr>
            <w:tcW w:type="dxa" w:w="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(1)</w:t>
            </w:r>
          </w:p>
        </w:tc>
        <w:tc>
          <w:tcPr>
            <w:tcW w:type="dxa" w:w="4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2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in subsection (3) of that section,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substitution for all the words and figures from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“registered under the Registration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Documents Ordinance (Cap. 117)”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end of that subsection, of the words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" w:after="0"/>
              <w:ind w:left="10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figures “registered under the Secured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0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0"/>
        <w:ind w:left="0" w:right="0"/>
      </w:pPr>
    </w:p>
    <w:p>
      <w:pPr>
        <w:autoSpaceDN w:val="0"/>
        <w:autoSpaceDE w:val="0"/>
        <w:widowControl/>
        <w:spacing w:line="5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1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74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Companies (Amendment)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162"/>
        <w:ind w:left="2732" w:right="252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Transactions Act, No.    of 2023 and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provisions of that Act shall apply in regard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such floating charge.”; 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3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(2)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by the repeal of subsection (4) of that section.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16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0" w:after="0"/>
              <w:ind w:left="52" w:right="68" w:firstLine="21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Section 431 of the principal enactment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amended by the addition immediately after subsection (6)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of that section, of the following new subsection: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431 of the</w:t>
            </w:r>
          </w:p>
        </w:tc>
      </w:tr>
      <w:tr>
        <w:trPr>
          <w:trHeight w:hRule="exact" w:val="24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8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8" w:after="0"/>
              <w:ind w:left="1574" w:right="68" w:firstLine="114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“(7) Where any movable property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owned by a company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is subject to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floating charge which is registered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under the Secured Transactions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No.      of 2023, the provisions relating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to priority contained in that Act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apply in determining the priority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floating charge.”.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71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8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28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24" w:after="0"/>
              <w:ind w:left="114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new section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433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6" w:after="0"/>
              <w:ind w:left="26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immediately after section 433 of the principal enactment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and shall have effect as section 433</w:t>
            </w:r>
            <w:r>
              <w:rPr>
                <w:w w:val="98.3327674865722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of that enactment: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60" w:after="0"/>
              <w:ind w:left="1492" w:right="0" w:hanging="139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“ Interpretation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433</w:t>
            </w:r>
            <w:r>
              <w:rPr>
                <w:w w:val="98.3327674865722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. In this Part of this Act,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term “floating charge” means a “security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right” for the purpose of the application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of the provisions of  the Secured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Transactions Act, No.   of 2023.”.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8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2" w:after="0"/>
              <w:ind w:left="52" w:right="70" w:firstLine="212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6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. In the event  of any inconsistency between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Sinhala and Tamil texts of this Act, the Sinhala text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98" w:after="0"/>
              <w:ind w:left="8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3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76"/>
        <w:ind w:left="0" w:right="0"/>
      </w:pPr>
    </w:p>
    <w:p>
      <w:pPr>
        <w:autoSpaceDN w:val="0"/>
        <w:autoSpaceDE w:val="0"/>
        <w:widowControl/>
        <w:spacing w:line="4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3.9999999999998" w:type="dxa"/>
      </w:tblPr>
      <w:tblGrid>
        <w:gridCol w:w="4510"/>
        <w:gridCol w:w="4510"/>
      </w:tblGrid>
      <w:tr>
        <w:trPr>
          <w:trHeight w:hRule="exact" w:val="9444"/>
        </w:trPr>
        <w:tc>
          <w:tcPr>
            <w:tcW w:type="dxa" w:w="4496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0" w:right="53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766"/>
            <w:tcBorders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50" w:after="0"/>
        <w:ind w:left="0" w:right="3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1900" w:h="16840"/>
      <w:pgMar w:top="139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