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>MORTGAGE (AMENDMENT)</w:t>
      </w:r>
    </w:p>
    <w:p>
      <w:pPr>
        <w:autoSpaceDN w:val="0"/>
        <w:autoSpaceDE w:val="0"/>
        <w:widowControl/>
        <w:spacing w:line="238" w:lineRule="auto" w:before="54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5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Mortgage Act (Chapter 89)</w:t>
      </w:r>
    </w:p>
    <w:p>
      <w:pPr>
        <w:autoSpaceDN w:val="0"/>
        <w:autoSpaceDE w:val="0"/>
        <w:widowControl/>
        <w:spacing w:line="235" w:lineRule="auto" w:before="26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8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 Finance,Economic Stabilization</w:t>
      </w:r>
    </w:p>
    <w:p>
      <w:pPr>
        <w:autoSpaceDN w:val="0"/>
        <w:autoSpaceDE w:val="0"/>
        <w:widowControl/>
        <w:spacing w:line="238" w:lineRule="auto" w:before="4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343938"/>
          <w:sz w:val="20"/>
        </w:rPr>
        <w:t>and National Policies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09th of January, 2024</w:t>
      </w:r>
    </w:p>
    <w:p>
      <w:pPr>
        <w:autoSpaceDN w:val="0"/>
        <w:autoSpaceDE w:val="0"/>
        <w:widowControl/>
        <w:spacing w:line="238" w:lineRule="auto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10, 2023)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1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229]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6.00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8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0" w:right="3066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STATEMENT OF LEGAL EFFECT</w:t>
      </w:r>
    </w:p>
    <w:p>
      <w:pPr>
        <w:autoSpaceDN w:val="0"/>
        <w:autoSpaceDE w:val="0"/>
        <w:widowControl/>
        <w:spacing w:line="236" w:lineRule="exact" w:before="198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This clause inserts the new section 68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in the Mortgage Act (Chapter 89),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and the legal effect of that section is to limit the applicability of Part III of the Mortgage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Act, in relation to movable property upon coming into operation of the Secured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Transactions Act, No.   of 2023.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1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8" w:lineRule="exact" w:before="0" w:after="0"/>
        <w:ind w:left="0" w:right="23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L.D.- O. 65/2017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num="2" w:equalWidth="0">
            <w:col w:w="3328" w:space="0"/>
            <w:col w:w="56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1.99999999999989" w:type="dxa"/>
      </w:tblPr>
      <w:tblGrid>
        <w:gridCol w:w="4510"/>
        <w:gridCol w:w="4510"/>
      </w:tblGrid>
      <w:tr>
        <w:trPr>
          <w:trHeight w:hRule="exact" w:val="242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2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Mortgage 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756"/>
        <w:ind w:left="0" w:right="0"/>
      </w:pP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num="2" w:equalWidth="0">
            <w:col w:w="3328" w:space="0"/>
            <w:col w:w="5692" w:space="0"/>
          </w:cols>
          <w:docGrid w:linePitch="360"/>
        </w:sectPr>
      </w:pPr>
    </w:p>
    <w:p>
      <w:pPr>
        <w:autoSpaceDN w:val="0"/>
        <w:autoSpaceDE w:val="0"/>
        <w:widowControl/>
        <w:spacing w:line="340" w:lineRule="exact" w:before="0" w:after="194"/>
        <w:ind w:left="1816" w:right="2304" w:firstLine="366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AMEND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ORTGAGE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HAPTER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89)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0" w:after="0"/>
              <w:ind w:left="25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This Act may be cited as the Mortgage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8" w:after="0"/>
              <w:ind w:left="11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Short title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date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(Amendment) Act, No.        of  2024.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2" w:after="0"/>
              <w:ind w:left="2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The provisions of this Act, other than the provisions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this section, shall come into operation on such date as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5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may appoint by Order 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Gazette.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2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The provisions of this section shall come into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operation on the date on which the Bill becomes an Act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7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8" w:after="0"/>
              <w:ind w:left="25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immediately after section 68 of the Mortgage Act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68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in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(Chapter 89) and shall have effect as section 68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Chapter 89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enactment 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Application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6" w:after="0"/>
              <w:ind w:left="4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68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 The provisions of Part III of this Act,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58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52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Part III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movable</w:t>
            </w:r>
          </w:p>
          <w:p>
            <w:pPr>
              <w:autoSpaceDN w:val="0"/>
              <w:autoSpaceDE w:val="0"/>
              <w:widowControl/>
              <w:spacing w:line="212" w:lineRule="exact" w:before="1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property.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" w:after="0"/>
              <w:ind w:left="78" w:right="4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only apply to any movable property in so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far as they are not inconsistent with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the Secured Transactions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No.   of  2023, from and after the date of coming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into operation of the said Secured Transactions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Act.’’.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25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12" w:lineRule="exact" w:before="8" w:after="0"/>
        <w:ind w:left="0" w:right="135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inconsistency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2"/>
        <w:ind w:left="0" w:right="0"/>
      </w:pPr>
    </w:p>
    <w:p>
      <w:pPr>
        <w:autoSpaceDN w:val="0"/>
        <w:autoSpaceDE w:val="0"/>
        <w:widowControl/>
        <w:spacing w:line="266" w:lineRule="exact" w:before="19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35" w:lineRule="auto" w:before="97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