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362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January 05, 2024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09.01.2024)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0" w:right="28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PARTITION (AMENDMENT)</w:t>
      </w:r>
    </w:p>
    <w:p>
      <w:pPr>
        <w:autoSpaceDN w:val="0"/>
        <w:autoSpaceDE w:val="0"/>
        <w:widowControl/>
        <w:spacing w:line="420" w:lineRule="auto" w:before="422" w:after="0"/>
        <w:ind w:left="2736" w:right="259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to amend the Partition Law, No. 21 of 1977</w:t>
      </w:r>
    </w:p>
    <w:p>
      <w:pPr>
        <w:autoSpaceDN w:val="0"/>
        <w:autoSpaceDE w:val="0"/>
        <w:widowControl/>
        <w:spacing w:line="300" w:lineRule="auto" w:before="50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Constitutional Reforms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6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9" w:lineRule="auto" w:before="222" w:after="0"/>
        <w:ind w:left="1344" w:right="1436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15 of the Partition Law, No. 21 of 1977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by making provisions for the public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announcement on the partition action by way of exhibiting a banner and using a loudspeaker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enable all persons having interest in the land to be partitioned, to become aware of such </w:t>
      </w:r>
      <w:r>
        <w:rPr>
          <w:rFonts w:ascii="Times" w:hAnsi="Times" w:eastAsia="Times"/>
          <w:b w:val="0"/>
          <w:i w:val="0"/>
          <w:color w:val="221F1F"/>
          <w:sz w:val="16"/>
        </w:rPr>
        <w:t>partition action.</w:t>
      </w:r>
    </w:p>
    <w:p>
      <w:pPr>
        <w:autoSpaceDN w:val="0"/>
        <w:autoSpaceDE w:val="0"/>
        <w:widowControl/>
        <w:spacing w:line="257" w:lineRule="auto" w:before="226" w:after="0"/>
        <w:ind w:left="1344" w:right="1436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16 of the principal enactment which enables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 to issue further commissions to any surveyor referred to in section 73 either on its </w:t>
      </w:r>
      <w:r>
        <w:rPr>
          <w:rFonts w:ascii="Times" w:hAnsi="Times" w:eastAsia="Times"/>
          <w:b w:val="0"/>
          <w:i w:val="0"/>
          <w:color w:val="221F1F"/>
          <w:sz w:val="16"/>
        </w:rPr>
        <w:t>own motion or at the instance of any party to the action for the adjudication of the action.</w:t>
      </w:r>
    </w:p>
    <w:p>
      <w:pPr>
        <w:autoSpaceDN w:val="0"/>
        <w:tabs>
          <w:tab w:pos="1602" w:val="left"/>
        </w:tabs>
        <w:autoSpaceDE w:val="0"/>
        <w:widowControl/>
        <w:spacing w:line="252" w:lineRule="auto" w:before="226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15 of the principal enactment by clause 2.</w:t>
      </w:r>
    </w:p>
    <w:p>
      <w:pPr>
        <w:autoSpaceDN w:val="0"/>
        <w:autoSpaceDE w:val="0"/>
        <w:widowControl/>
        <w:spacing w:line="257" w:lineRule="auto" w:before="226" w:after="0"/>
        <w:ind w:left="1344" w:right="1436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18 of the principal enactment by requiring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surveyor to state in the affidavit the nature of the claim made by the parties to the action </w:t>
      </w:r>
      <w:r>
        <w:rPr>
          <w:rFonts w:ascii="Times" w:hAnsi="Times" w:eastAsia="Times"/>
          <w:b w:val="0"/>
          <w:i w:val="0"/>
          <w:color w:val="221F1F"/>
          <w:sz w:val="16"/>
        </w:rPr>
        <w:t>who were present at the survey.</w:t>
      </w:r>
    </w:p>
    <w:p>
      <w:pPr>
        <w:autoSpaceDN w:val="0"/>
        <w:autoSpaceDE w:val="0"/>
        <w:widowControl/>
        <w:spacing w:line="257" w:lineRule="auto" w:before="226" w:after="0"/>
        <w:ind w:left="1344" w:right="1436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23 of the principal enactment by providing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time period to file a list of documents to a party who intervenes after the first date fixed </w:t>
      </w:r>
      <w:r>
        <w:rPr>
          <w:rFonts w:ascii="Times" w:hAnsi="Times" w:eastAsia="Times"/>
          <w:b w:val="0"/>
          <w:i w:val="0"/>
          <w:color w:val="221F1F"/>
          <w:sz w:val="16"/>
        </w:rPr>
        <w:t>for trial.</w:t>
      </w:r>
    </w:p>
    <w:p>
      <w:pPr>
        <w:autoSpaceDN w:val="0"/>
        <w:autoSpaceDE w:val="0"/>
        <w:widowControl/>
        <w:spacing w:line="259" w:lineRule="auto" w:before="226" w:after="0"/>
        <w:ind w:left="1344" w:right="1436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27 of the principal enactment by enabling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 to issue the commission for the division of the land in to lots to the surveyor who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made preliminary survey or any surveyor whose name is in the list referred to in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73 or any other surveyor upon agreement of all parties who have been awarded any right </w:t>
      </w:r>
      <w:r>
        <w:rPr>
          <w:rFonts w:ascii="Times" w:hAnsi="Times" w:eastAsia="Times"/>
          <w:b w:val="0"/>
          <w:i w:val="0"/>
          <w:color w:val="221F1F"/>
          <w:sz w:val="16"/>
        </w:rPr>
        <w:t>by the interlocutory decree entered under section 26 of the principal enactment.</w:t>
      </w:r>
    </w:p>
    <w:p>
      <w:pPr>
        <w:autoSpaceDN w:val="0"/>
        <w:tabs>
          <w:tab w:pos="1602" w:val="left"/>
        </w:tabs>
        <w:autoSpaceDE w:val="0"/>
        <w:widowControl/>
        <w:spacing w:line="252" w:lineRule="auto" w:before="226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30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15 of the principal enactment by clause 2.</w:t>
      </w:r>
    </w:p>
    <w:p>
      <w:pPr>
        <w:autoSpaceDN w:val="0"/>
        <w:autoSpaceDE w:val="0"/>
        <w:widowControl/>
        <w:spacing w:line="257" w:lineRule="auto" w:before="226" w:after="0"/>
        <w:ind w:left="1342" w:right="1436" w:firstLine="26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36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by providing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dissatisfied with an order made under section 36 to prefer an application for leave </w:t>
      </w:r>
      <w:r>
        <w:rPr>
          <w:rFonts w:ascii="Times" w:hAnsi="Times" w:eastAsia="Times"/>
          <w:b w:val="0"/>
          <w:i w:val="0"/>
          <w:color w:val="221F1F"/>
          <w:sz w:val="16"/>
        </w:rPr>
        <w:t>to appeal to the Court of Appeal against such order.</w:t>
      </w:r>
    </w:p>
    <w:p>
      <w:pPr>
        <w:autoSpaceDN w:val="0"/>
        <w:autoSpaceDE w:val="0"/>
        <w:widowControl/>
        <w:spacing w:line="257" w:lineRule="auto" w:before="226" w:after="0"/>
        <w:ind w:left="1342" w:right="1436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by rectifying an </w:t>
      </w:r>
      <w:r>
        <w:rPr>
          <w:rFonts w:ascii="Times" w:hAnsi="Times" w:eastAsia="Times"/>
          <w:b w:val="0"/>
          <w:i w:val="0"/>
          <w:color w:val="221F1F"/>
          <w:sz w:val="16"/>
        </w:rPr>
        <w:t>error occurred in that section in making a wrong reference inadvertently to sections 36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16"/>
        </w:rPr>
        <w:t>and 45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tabs>
          <w:tab w:pos="1602" w:val="left"/>
        </w:tabs>
        <w:autoSpaceDE w:val="0"/>
        <w:widowControl/>
        <w:spacing w:line="252" w:lineRule="auto" w:before="226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11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48 of the principal enactment in line with </w:t>
      </w:r>
      <w:r>
        <w:rPr>
          <w:rFonts w:ascii="Times" w:hAnsi="Times" w:eastAsia="Times"/>
          <w:b w:val="0"/>
          <w:i w:val="0"/>
          <w:color w:val="221F1F"/>
          <w:sz w:val="16"/>
        </w:rPr>
        <w:t>Article 169 of the Constitution.</w:t>
      </w:r>
    </w:p>
    <w:p>
      <w:pPr>
        <w:autoSpaceDN w:val="0"/>
        <w:autoSpaceDE w:val="0"/>
        <w:widowControl/>
        <w:spacing w:line="252" w:lineRule="auto" w:before="226" w:after="0"/>
        <w:ind w:left="1342" w:right="1296" w:firstLine="26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12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52 of the principal enactment by providing for </w:t>
      </w:r>
      <w:r>
        <w:rPr>
          <w:rFonts w:ascii="Times" w:hAnsi="Times" w:eastAsia="Times"/>
          <w:b w:val="0"/>
          <w:i w:val="0"/>
          <w:color w:val="221F1F"/>
          <w:sz w:val="16"/>
        </w:rPr>
        <w:t>a time period to file a motion to obtain an order for the delivery of possession of the land.</w:t>
      </w:r>
    </w:p>
    <w:p>
      <w:pPr>
        <w:autoSpaceDN w:val="0"/>
        <w:autoSpaceDE w:val="0"/>
        <w:widowControl/>
        <w:spacing w:line="257" w:lineRule="auto" w:before="226" w:after="0"/>
        <w:ind w:left="1344" w:right="1436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57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consequential to the amendment made to section 15 of the principal enactment by </w:t>
      </w:r>
      <w:r>
        <w:rPr>
          <w:rFonts w:ascii="Times" w:hAnsi="Times" w:eastAsia="Times"/>
          <w:b w:val="0"/>
          <w:i w:val="0"/>
          <w:color w:val="221F1F"/>
          <w:sz w:val="16"/>
        </w:rPr>
        <w:t>clause 2.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14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67 of the principal enactment in line with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Article 169 of the Constitution and makes provisions to prevent the alteration to the </w:t>
      </w:r>
      <w:r>
        <w:rPr>
          <w:rFonts w:ascii="Times" w:hAnsi="Times" w:eastAsia="Times"/>
          <w:b w:val="0"/>
          <w:i w:val="0"/>
          <w:color w:val="221F1F"/>
          <w:sz w:val="16"/>
        </w:rPr>
        <w:t>character of the land being done during the pendency of the determination of the appeal.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forms which bear the title “REPORT BY GRAMA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NILADHARI” and “ FORM OF SURVEYOR’S REPOR” in the Second Schedule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enactment and is consequential to the amendment made to section 15 and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18 of the principal enactment by clause 2 and clause 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384240"/>
          <w:sz w:val="20"/>
        </w:rPr>
        <w:t>L.D.-O. 68/2021</w:t>
      </w:r>
    </w:p>
    <w:p>
      <w:pPr>
        <w:autoSpaceDN w:val="0"/>
        <w:autoSpaceDE w:val="0"/>
        <w:widowControl/>
        <w:spacing w:line="238" w:lineRule="auto" w:before="20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ARTITION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1977</w:t>
      </w:r>
    </w:p>
    <w:p>
      <w:pPr>
        <w:autoSpaceDN w:val="0"/>
        <w:autoSpaceDE w:val="0"/>
        <w:widowControl/>
        <w:spacing w:line="245" w:lineRule="auto" w:before="24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5" w:lineRule="auto" w:before="242" w:after="156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Partition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15 of the Partition Law, No. 21 of 1977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Law, No.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 of 1977</w:t>
            </w:r>
          </w:p>
        </w:tc>
      </w:tr>
      <w:tr>
        <w:trPr>
          <w:trHeight w:hRule="exact" w:val="36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(2) and (3) thereof,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0" w:after="2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“(2) Every Grama Niladhari to whom a copy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  and a copy of a translation thereof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sent by registered post under subsection (1)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shall cause  the contents of the notice,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Schedule of the land or lands, as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to be exhibited in a banner displayed,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manner as may be prescribed by regulations,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 conspicuous place in his office or close to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  for a period of not less than thirty days,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forward to the court  a report to that effect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Schedule.</w:t>
      </w:r>
    </w:p>
    <w:p>
      <w:pPr>
        <w:autoSpaceDN w:val="0"/>
        <w:autoSpaceDE w:val="0"/>
        <w:widowControl/>
        <w:spacing w:line="235" w:lineRule="auto" w:before="24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Grama Niladhari shall also cause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contents of the notice sent to him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of this section, including the Schedule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land or lands, as the case may be,</w:t>
      </w:r>
    </w:p>
    <w:p>
      <w:pPr>
        <w:autoSpaceDN w:val="0"/>
        <w:tabs>
          <w:tab w:pos="3238" w:val="left"/>
        </w:tabs>
        <w:autoSpaceDE w:val="0"/>
        <w:widowControl/>
        <w:spacing w:line="245" w:lineRule="auto" w:before="240" w:after="0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exhibited in a banner,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conspicuous position in the land or lands,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be, in the manners as may</w:t>
      </w:r>
    </w:p>
    <w:p>
      <w:pPr>
        <w:autoSpaceDN w:val="0"/>
        <w:tabs>
          <w:tab w:pos="3238" w:val="left"/>
        </w:tabs>
        <w:autoSpaceDE w:val="0"/>
        <w:widowControl/>
        <w:spacing w:line="259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prescribed by regulations;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orally proclaimed by way of public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74" w:lineRule="auto" w:before="24" w:after="0"/>
        <w:ind w:left="14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announcement made using a loudspeaker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such land or each of such lands and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place close to such land or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lands, as the case may be,</w:t>
      </w:r>
    </w:p>
    <w:p>
      <w:pPr>
        <w:autoSpaceDN w:val="0"/>
        <w:autoSpaceDE w:val="0"/>
        <w:widowControl/>
        <w:spacing w:line="271" w:lineRule="auto" w:before="320" w:after="26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forward to the court a report to that effect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at the end of that section of the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new subsection:-</w:t>
            </w:r>
          </w:p>
        </w:tc>
      </w:tr>
    </w:tbl>
    <w:p>
      <w:pPr>
        <w:autoSpaceDN w:val="0"/>
        <w:tabs>
          <w:tab w:pos="2422" w:val="left"/>
          <w:tab w:pos="2424" w:val="left"/>
          <w:tab w:pos="2662" w:val="left"/>
        </w:tabs>
        <w:autoSpaceDE w:val="0"/>
        <w:widowControl/>
        <w:spacing w:line="281" w:lineRule="auto" w:before="262" w:after="24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cost of the publication done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(2) and (3) of this section shall be borne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plaintiff in the first instance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recoverable “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pro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rata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”. The Grama Niladhari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forward an affidavit to the court affirming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the publications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(2) and (3) of this section along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reports referred to in subsections (2) and (3)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 within two months from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 of such notice.”.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16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16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(2) thereof,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4" w:val="left"/>
          <w:tab w:pos="2664" w:val="left"/>
        </w:tabs>
        <w:autoSpaceDE w:val="0"/>
        <w:widowControl/>
        <w:spacing w:line="278" w:lineRule="auto" w:before="1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commission issued to a surveyor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this 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in the form set out in the Second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and shall have attached thereto a copy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plaint certified as a true copy by the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>attorney for the plaintiff.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26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  <w:tab w:pos="2758" w:val="left"/>
        </w:tabs>
        <w:autoSpaceDE w:val="0"/>
        <w:widowControl/>
        <w:spacing w:line="266" w:lineRule="auto" w:before="494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court may, upon transmit to it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18, the plan prepared by the surveyor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the commission issued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order to issue a further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its own motion or at the instance of any party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action, authorizing-</w:t>
      </w:r>
    </w:p>
    <w:p>
      <w:pPr>
        <w:autoSpaceDN w:val="0"/>
        <w:tabs>
          <w:tab w:pos="2876" w:val="left"/>
          <w:tab w:pos="3236" w:val="left"/>
          <w:tab w:pos="3238" w:val="left"/>
        </w:tabs>
        <w:autoSpaceDE w:val="0"/>
        <w:widowControl/>
        <w:spacing w:line="266" w:lineRule="auto" w:before="292" w:after="23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surveyor referred to in subsection (1)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surveyor whose name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list of surveyors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section 73, to survey any larger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smaller portion of the land that was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surveyed under the commission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surveyor other than the surveyor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(1) and whose</w:t>
            </w:r>
          </w:p>
        </w:tc>
      </w:tr>
    </w:tbl>
    <w:p>
      <w:pPr>
        <w:autoSpaceDN w:val="0"/>
        <w:autoSpaceDE w:val="0"/>
        <w:widowControl/>
        <w:spacing w:line="264" w:lineRule="auto" w:before="8" w:after="0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name is specified in the list of surveyors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73, to resurvey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that was surveyed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issued under subsection (1),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court may also direct the surveyor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executes the further commission to superimpose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plan prepared under the further commission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plan prepared in the execution of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under subsection (1) or to carry out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matter necessary for the adjudication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action.</w:t>
      </w:r>
    </w:p>
    <w:p>
      <w:pPr>
        <w:autoSpaceDN w:val="0"/>
        <w:tabs>
          <w:tab w:pos="2516" w:val="left"/>
          <w:tab w:pos="275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execution of the further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(1), (3), (4), (5) and (6) of this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provisions of sections 17 and 18 shall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in respect thereof.”.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17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“after beat of tom-tom,” of the words “by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announcement made using a loudspeaker,”.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subparagraph (iv)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18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thereof, by the substitution for the words “the parties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action who were present at the survey,” of the words “the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6" w:after="1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parties to the action who were present at the survey,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nature of their claims”.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23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the words from “Every party to a partition action shall,”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“the contents of such documents.” of the words-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“Every party to a partition action shall, not less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69" w:lineRule="auto" w:before="16" w:after="2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thirty days before the date first fixed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of the action, file or cause to be filed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a list of documents on which he relies to 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right, share or interest to, of or in the land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together with an abstract of the contents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documents. Where a party is allowed to intervene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date first fixed for trial, such party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file a list of documents within thirty days of such </w:t>
      </w:r>
      <w:r>
        <w:rPr>
          <w:rFonts w:ascii="Times" w:hAnsi="Times" w:eastAsia="Times"/>
          <w:b w:val="0"/>
          <w:i w:val="0"/>
          <w:color w:val="221F1F"/>
          <w:sz w:val="20"/>
        </w:rPr>
        <w:t>intervention.”.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(3) thereof,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4" w:val="left"/>
          <w:tab w:pos="2664" w:val="left"/>
        </w:tabs>
        <w:autoSpaceDE w:val="0"/>
        <w:widowControl/>
        <w:spacing w:line="264" w:lineRule="auto" w:before="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the court decides that the land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partitioned,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of this section shall be issued </w:t>
      </w:r>
      <w:r>
        <w:rPr>
          <w:rFonts w:ascii="Times" w:hAnsi="Times" w:eastAsia="Times"/>
          <w:b w:val="0"/>
          <w:i w:val="0"/>
          <w:color w:val="221F1F"/>
          <w:sz w:val="20"/>
        </w:rPr>
        <w:t>to the surveyor who made the preliminary survey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26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88" w:lineRule="auto" w:before="510" w:after="282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17 unless the court decides to issue 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other surveyor whose name is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list referred to in section 73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fit, notwithstanding anything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section 73, to any other surveyor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 of all parties who have been awarded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right by the interlocutory decree entered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26.”.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(3)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30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“after beat of tom-tom,” of the words “by way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announcement made using a loudspeaker,”.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“Application</w:t>
            </w:r>
          </w:p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Any person dissatisfied with an order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leave to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the court under section 36 may prefer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for leave to appeal to the Court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8" w:after="18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Appeal in terms of subsection (2)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754 of the Civil Procedure Code (Chapter 101)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such order.”.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(2)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“under sections 36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and figures  “under sections 36 and 45”.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48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(3)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48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“The powers of the Supreme Court”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powers of the Court of Appeal”.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52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“by motion in that behalf,” of the words “by motion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behalf, within ten years from the date of such final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decree or of the final decree, if any, on appeal affirming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4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same”.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57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cost incurred in the display of the banner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8" w:after="24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proclamation made under section 15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incurred in the proclamation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67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(1) thereof, by the substitution for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“the Supreme Court” of the words “the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of Appeal”;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 the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4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“damage to the land” of the words “damage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land, or making any alteration to the character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land,”.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Second Schedule to the principal enactment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2"/>
        <w:ind w:left="0" w:right="15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0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Form prescribed under subsection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which bears the title “REPORT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GRAMA NILADHARI”-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26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Partition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996" w:val="left"/>
          <w:tab w:pos="3016" w:val="left"/>
        </w:tabs>
        <w:autoSpaceDE w:val="0"/>
        <w:widowControl/>
        <w:spacing w:line="259" w:lineRule="auto" w:before="494" w:after="23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for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“(Section 15(2))” of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“(subsections (2) and (3) of section 15)”;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“I have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exhibited the annexed notice with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translations on the notice board of my office”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following-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66" w:lineRule="auto" w:before="292" w:after="1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 have exhibited the contents of the notice,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Schedule of the land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banner displayed in a conspicuous place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my office and in a conspicuous place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orally proclaimed by way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announcement made using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loudspeaker at such land and at a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close to such land”;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Form prescribed under subsection (1) of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section 18 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bears the title “FORM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SURVEYOR’S REPORT”, by the repeal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(vi) thereof, and the substitution therefor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2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35" w:lineRule="auto" w:before="270" w:after="23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“(vi) Parties present and the nature of their claims;”.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111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13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Partition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