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1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70199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199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8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PARLIAMENT  OF  THE  DEMOCRATIC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SOCIALIST  REPUBLIC  OF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 SRI  LANKA</w:t>
      </w:r>
    </w:p>
    <w:p>
      <w:pPr>
        <w:autoSpaceDN w:val="0"/>
        <w:autoSpaceDE w:val="0"/>
        <w:widowControl/>
        <w:spacing w:line="233" w:lineRule="auto" w:before="780" w:after="0"/>
        <w:ind w:left="208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REGISTRATION OF DOCUMENTS (AMENDMENT)</w:t>
      </w:r>
    </w:p>
    <w:p>
      <w:pPr>
        <w:autoSpaceDN w:val="0"/>
        <w:autoSpaceDE w:val="0"/>
        <w:widowControl/>
        <w:spacing w:line="230" w:lineRule="auto" w:before="572" w:after="0"/>
        <w:ind w:left="0" w:right="4374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A</w:t>
      </w:r>
    </w:p>
    <w:p>
      <w:pPr>
        <w:autoSpaceDN w:val="0"/>
        <w:autoSpaceDE w:val="0"/>
        <w:widowControl/>
        <w:spacing w:line="230" w:lineRule="auto" w:before="164" w:after="0"/>
        <w:ind w:left="0" w:right="4178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BILL</w:t>
      </w:r>
    </w:p>
    <w:p>
      <w:pPr>
        <w:autoSpaceDN w:val="0"/>
        <w:autoSpaceDE w:val="0"/>
        <w:widowControl/>
        <w:spacing w:line="233" w:lineRule="auto" w:before="214" w:after="0"/>
        <w:ind w:left="17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to amend the Registration of Documents Ordinance (Chapter 117)</w:t>
      </w:r>
    </w:p>
    <w:p>
      <w:pPr>
        <w:autoSpaceDN w:val="0"/>
        <w:autoSpaceDE w:val="0"/>
        <w:widowControl/>
        <w:spacing w:line="245" w:lineRule="auto" w:before="880" w:after="0"/>
        <w:ind w:left="1872" w:right="1728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Presented by the Minister of Finance, Economic Stabilization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National Policies on 09</w:t>
      </w:r>
      <w:r>
        <w:rPr>
          <w:w w:val="97.16666539510092"/>
          <w:rFonts w:ascii="TimesNewRomanPS" w:hAnsi="TimesNewRomanPS" w:eastAsia="TimesNewRomanPS"/>
          <w:b w:val="0"/>
          <w:i/>
          <w:color w:val="000000"/>
          <w:sz w:val="12"/>
        </w:rPr>
        <w:t>th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of  January, 2024</w:t>
      </w:r>
    </w:p>
    <w:p>
      <w:pPr>
        <w:autoSpaceDN w:val="0"/>
        <w:autoSpaceDE w:val="0"/>
        <w:widowControl/>
        <w:spacing w:line="233" w:lineRule="auto" w:before="234" w:after="0"/>
        <w:ind w:left="0" w:right="24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(Published in the Gazette on November 10, 2023)</w:t>
      </w:r>
    </w:p>
    <w:p>
      <w:pPr>
        <w:autoSpaceDN w:val="0"/>
        <w:autoSpaceDE w:val="0"/>
        <w:widowControl/>
        <w:spacing w:line="233" w:lineRule="auto" w:before="258" w:after="0"/>
        <w:ind w:left="0" w:right="300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Ordered by Parliament to be printed</w:t>
      </w:r>
    </w:p>
    <w:p>
      <w:pPr>
        <w:autoSpaceDN w:val="0"/>
        <w:autoSpaceDE w:val="0"/>
        <w:widowControl/>
        <w:spacing w:line="233" w:lineRule="auto" w:before="62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[Bill No. 233]</w:t>
      </w:r>
    </w:p>
    <w:p>
      <w:pPr>
        <w:autoSpaceDN w:val="0"/>
        <w:autoSpaceDE w:val="0"/>
        <w:widowControl/>
        <w:spacing w:line="230" w:lineRule="auto" w:before="554" w:after="0"/>
        <w:ind w:left="0" w:right="26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PRINTED AT THE DEPARTMENT OF GOVERNMENT PRINTING, SRI LANKA</w:t>
      </w:r>
    </w:p>
    <w:p>
      <w:pPr>
        <w:autoSpaceDN w:val="0"/>
        <w:autoSpaceDE w:val="0"/>
        <w:widowControl/>
        <w:spacing w:line="230" w:lineRule="auto" w:before="130" w:after="0"/>
        <w:ind w:left="0" w:right="235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TO BE PURCHASED AT THE GOVERNMENT PUBLICATIONS BUREAU, COLOMBO 5</w:t>
      </w:r>
    </w:p>
    <w:p>
      <w:pPr>
        <w:autoSpaceDN w:val="0"/>
        <w:tabs>
          <w:tab w:pos="5950" w:val="left"/>
        </w:tabs>
        <w:autoSpaceDE w:val="0"/>
        <w:widowControl/>
        <w:spacing w:line="240" w:lineRule="auto" w:before="134" w:after="0"/>
        <w:ind w:left="145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Price : Rs. 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12'00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Postage Fee : Rs.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 50'00</w:t>
      </w:r>
    </w:p>
    <w:p>
      <w:pPr>
        <w:autoSpaceDN w:val="0"/>
        <w:tabs>
          <w:tab w:pos="7022" w:val="left"/>
        </w:tabs>
        <w:autoSpaceDE w:val="0"/>
        <w:widowControl/>
        <w:spacing w:line="240" w:lineRule="auto" w:before="6" w:after="0"/>
        <w:ind w:left="1462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Bill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322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>STATEMENT OF LEGAL EFFECT</w:t>
      </w:r>
    </w:p>
    <w:p>
      <w:pPr>
        <w:autoSpaceDN w:val="0"/>
        <w:autoSpaceDE w:val="0"/>
        <w:widowControl/>
        <w:spacing w:line="300" w:lineRule="auto" w:before="320" w:after="0"/>
        <w:ind w:left="1332" w:right="1414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Clause 2 :  This clause amends section 8 of the Registration of Documents Ordinance (Chapter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117) (hereinafter referred to as the “principal enactment”), and the legal effect of the section as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amended is to exclude any transaction which is subject to the provisions of the Secured Transactions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Act, No.              of  2023 from the application of the provisions of the principal enactment. </w:t>
      </w:r>
    </w:p>
    <w:p>
      <w:pPr>
        <w:autoSpaceDN w:val="0"/>
        <w:autoSpaceDE w:val="0"/>
        <w:widowControl/>
        <w:spacing w:line="300" w:lineRule="auto" w:before="318" w:after="0"/>
        <w:ind w:left="1332" w:right="1414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3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repeals Chapter IV of the principal enactment which contains provisions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relating to registration of instruments creating security rights in movable property, as consequential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to the enactment of the Secured Transactions Act, No.                of  2023 to make provisions applicable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to secured transactions in movable property.</w:t>
      </w:r>
    </w:p>
    <w:p>
      <w:pPr>
        <w:autoSpaceDN w:val="0"/>
        <w:autoSpaceDE w:val="0"/>
        <w:widowControl/>
        <w:spacing w:line="300" w:lineRule="auto" w:before="318" w:after="0"/>
        <w:ind w:left="1332" w:right="1414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4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replaces the heading of Chapter V of the principal enactment limiting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application of that Chapter to instruments affecting land, as consequential    to the enactment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of the Secured Transactions Act, No.             of  2023 to make provisions applicable to secured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transactions in movable property.</w:t>
      </w:r>
    </w:p>
    <w:p>
      <w:pPr>
        <w:autoSpaceDN w:val="0"/>
        <w:autoSpaceDE w:val="0"/>
        <w:widowControl/>
        <w:spacing w:line="300" w:lineRule="auto" w:before="320" w:after="0"/>
        <w:ind w:left="1332" w:right="1414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5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25 of the principal enactment, and the legal effect of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section as amended is to limit the application of Chapter V of the principal enactment to the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instruments affecting land, as consequential    to the enactment of the Secured Transactions Act,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No.            of  2023 to make provisions applicable to secured transactions in movable property.</w:t>
      </w:r>
    </w:p>
    <w:p>
      <w:pPr>
        <w:autoSpaceDN w:val="0"/>
        <w:tabs>
          <w:tab w:pos="1552" w:val="left"/>
        </w:tabs>
        <w:autoSpaceDE w:val="0"/>
        <w:widowControl/>
        <w:spacing w:line="276" w:lineRule="auto" w:before="320" w:after="0"/>
        <w:ind w:left="1332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6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29 of the principal enactment, and it is consequential to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amendment made to section 25 of the principal enactment by clause 5 of this Bill. </w:t>
      </w:r>
    </w:p>
    <w:p>
      <w:pPr>
        <w:autoSpaceDN w:val="0"/>
        <w:tabs>
          <w:tab w:pos="1552" w:val="left"/>
        </w:tabs>
        <w:autoSpaceDE w:val="0"/>
        <w:widowControl/>
        <w:spacing w:line="276" w:lineRule="auto" w:before="320" w:after="0"/>
        <w:ind w:left="1332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7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41 of the principal enactment, and it is consequential to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amendment made to section 25 of the principal enactment by clause 5 of this Bill. </w:t>
      </w:r>
    </w:p>
    <w:p>
      <w:pPr>
        <w:autoSpaceDN w:val="0"/>
        <w:tabs>
          <w:tab w:pos="1552" w:val="left"/>
        </w:tabs>
        <w:autoSpaceDE w:val="0"/>
        <w:widowControl/>
        <w:spacing w:line="276" w:lineRule="auto" w:before="320" w:after="0"/>
        <w:ind w:left="1332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8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the First Schedule to the principal enactment, and it is consequential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to the amendment made by clause 3 of this Bill. </w:t>
      </w:r>
    </w:p>
    <w:p>
      <w:pPr>
        <w:autoSpaceDN w:val="0"/>
        <w:autoSpaceDE w:val="0"/>
        <w:widowControl/>
        <w:spacing w:line="300" w:lineRule="auto" w:before="320" w:after="0"/>
        <w:ind w:left="1332" w:right="1412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9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makes provisions in regard to the period of enforceability of instruments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already registered under the Registration of Documents Ordinance and the requirement of registering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those instruments under the Secured Transactions Act, No.              of   2023 upon coming into operation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of the said Act in order for them to be further enforceable and for their priority to continue to prevail.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2092" w:val="left"/>
          <w:tab w:pos="2668" w:val="left"/>
          <w:tab w:pos="3286" w:val="left"/>
        </w:tabs>
        <w:autoSpaceDE w:val="0"/>
        <w:widowControl/>
        <w:spacing w:line="370" w:lineRule="auto" w:before="0" w:after="216"/>
        <w:ind w:left="1800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Registration of  Documents (Amendment)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L.D.-O. 69/2017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act to amend the registration of documents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ordinance (chapter 117)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08" w:after="0"/>
              <w:ind w:left="0" w:right="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6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 (1) This Act may be cited as the Registration of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Short title </w:t>
            </w:r>
          </w:p>
        </w:tc>
      </w:tr>
      <w:tr>
        <w:trPr>
          <w:trHeight w:hRule="exact" w:val="181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Documents (Amendment) Act, No.    2023.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and date of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operation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9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 The provisions of this Act, other than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provisions of this section, shall come into operation on such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date as the Minister may appoint by Order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(in this Act referred to as the “appointed date”).</w:t>
      </w:r>
    </w:p>
    <w:p>
      <w:pPr>
        <w:autoSpaceDN w:val="0"/>
        <w:autoSpaceDE w:val="0"/>
        <w:widowControl/>
        <w:spacing w:line="230" w:lineRule="auto" w:before="276" w:after="14"/>
        <w:ind w:left="0" w:right="23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provisions of this section shall come into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operation on the date on which the Bill becomes an Act of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3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Parliament.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8 of the Registration of Documents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8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Ordinance (Chapter 117) (in this Act referred to as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section 8 of </w:t>
            </w:r>
          </w:p>
        </w:tc>
      </w:tr>
      <w:tr>
        <w:trPr>
          <w:trHeight w:hRule="exact" w:val="6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Chapter 117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“principal enactment”) is hereby amended in the proviso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paragraph (b) of that section, by the addition immediately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after sub paragraph (xi) of that proviso, of the following new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254" w:val="left"/>
          <w:tab w:pos="2820" w:val="left"/>
        </w:tabs>
        <w:autoSpaceDE w:val="0"/>
        <w:widowControl/>
        <w:spacing w:line="336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subparagraph: 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“(xii)  any agreement in relation to a transaction which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subject to the provisions of the Secured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Transactions Act, No.     of 2023.”.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Repeal of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Chapter IV of the principal enactment (sections 16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to 24 both inclusive) is 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Chapter IV of </w:t>
            </w:r>
          </w:p>
        </w:tc>
      </w:tr>
      <w:tr>
        <w:trPr>
          <w:trHeight w:hRule="exact" w:val="20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48"/>
        <w:ind w:left="0" w:right="16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heading of Chapter V of the principal enactment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Replacement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is hereby repealed and the following heading is substituted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heading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Chapter </w:t>
            </w:r>
          </w:p>
        </w:tc>
      </w:tr>
      <w:tr>
        <w:trPr>
          <w:trHeight w:hRule="exact" w:val="1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therefor: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V of the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2"/>
        <w:ind w:left="0" w:right="16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principal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37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72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PL 014330 — 480 (01/2024)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8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324" w:lineRule="exact" w:before="0" w:after="0"/>
        <w:ind w:left="1706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4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Registration of  Documents (Amendment)</w:t>
      </w:r>
    </w:p>
    <w:p>
      <w:pPr>
        <w:autoSpaceDN w:val="0"/>
        <w:autoSpaceDE w:val="0"/>
        <w:widowControl/>
        <w:spacing w:line="245" w:lineRule="auto" w:before="312" w:after="228"/>
        <w:ind w:left="158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“Chapter v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Provisions applicable to instruments affecting land’’.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4" w:after="0"/>
              <w:ind w:left="0" w:right="10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25 of the principal enactment is hereby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substitution for the words “an instrument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25 of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affecting land or a pledge, mortgage or bill of sale.”, of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enactment </w:t>
            </w:r>
          </w:p>
        </w:tc>
      </w:tr>
      <w:tr>
        <w:trPr>
          <w:trHeight w:hRule="exact" w:val="3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4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words “an instrument affecting land.”.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375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29 of the principal enactment is hereby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amended as 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29 of </w:t>
            </w:r>
          </w:p>
        </w:tc>
      </w:tr>
      <w:tr>
        <w:trPr>
          <w:trHeight w:hRule="exact" w:val="2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4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 in subsection (1) of that section, by the substitution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2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9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the words “which affects land or movable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6" w:after="0"/>
        <w:ind w:left="0" w:right="25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property”, of the words “which affects land”; and</w:t>
      </w:r>
    </w:p>
    <w:p>
      <w:pPr>
        <w:autoSpaceDN w:val="0"/>
        <w:autoSpaceDE w:val="0"/>
        <w:widowControl/>
        <w:spacing w:line="257" w:lineRule="auto" w:before="300" w:after="0"/>
        <w:ind w:left="2612" w:right="2470" w:hanging="38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  by the repeal of the marginal note to that section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the substitution therefor, of the following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marginal note: -</w:t>
      </w:r>
    </w:p>
    <w:p>
      <w:pPr>
        <w:autoSpaceDN w:val="0"/>
        <w:tabs>
          <w:tab w:pos="3146" w:val="left"/>
          <w:tab w:pos="3196" w:val="left"/>
        </w:tabs>
        <w:autoSpaceDE w:val="0"/>
        <w:widowControl/>
        <w:spacing w:line="248" w:lineRule="exact" w:before="296" w:after="240"/>
        <w:ind w:left="1370" w:right="460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“Land situated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in several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districts.”.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8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41 of the principal enactment is hereby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substitution for the words “instruments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41 of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affecting land and pledges, mortgages or bills of sale registered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him”, of the words “instruments affecting land registered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0" w:after="24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by him”.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First Schedule to the principal enactment is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hereby amended in Part III of that Schedule, by the substitution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First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Schedule to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item 2 thereof, for the words and figures “any book or index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kept under Chapters III, IV, V, VI, for each transaction” of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words and figures “any book or index kept under Chapter III,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 or VI for each transaction”.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Registration of  Documents (Amendment)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24" w:after="0"/>
              <w:ind w:left="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Enforceability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instruments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registered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under Chapter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IV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principal </w:t>
            </w:r>
          </w:p>
        </w:tc>
      </w:tr>
      <w:tr>
        <w:trPr>
          <w:trHeight w:hRule="exact" w:val="141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45" w:lineRule="auto" w:before="188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 (1) Where, on the appointed date, an instrument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creating-</w:t>
            </w:r>
          </w:p>
          <w:p>
            <w:pPr>
              <w:autoSpaceDN w:val="0"/>
              <w:tabs>
                <w:tab w:pos="2006" w:val="left"/>
              </w:tabs>
              <w:autoSpaceDE w:val="0"/>
              <w:widowControl/>
              <w:spacing w:line="245" w:lineRule="auto" w:before="276" w:after="0"/>
              <w:ind w:left="17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a pledge, mortgage or bill of sale of movable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property; or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2" w:after="36"/>
        <w:ind w:left="0" w:right="16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6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6" w:after="0"/>
              <w:ind w:left="0" w:right="4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0" w:val="left"/>
              </w:tabs>
              <w:autoSpaceDE w:val="0"/>
              <w:widowControl/>
              <w:spacing w:line="245" w:lineRule="auto" w:before="36" w:after="0"/>
              <w:ind w:left="5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(b) (i) an interest in a fixture of any immovable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property; or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12"/>
        <w:ind w:left="3200" w:right="2376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(ii) an assignment of a right to payment under a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mortgage, charge or lease of any immovable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property where the assignment does not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convey or transfer the assignor’s interest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 the immovable property,</w:t>
            </w:r>
          </w:p>
        </w:tc>
      </w:tr>
    </w:tbl>
    <w:p>
      <w:pPr>
        <w:autoSpaceDN w:val="0"/>
        <w:autoSpaceDE w:val="0"/>
        <w:widowControl/>
        <w:spacing w:line="254" w:lineRule="auto" w:before="224" w:after="12"/>
        <w:ind w:left="184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which has been registered under Chapter IV of the principal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enactment, is in force, such pledge, mortgage or bill of sale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movable property or such interest in a fixture of immovable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1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property or such assignment of a right to payment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mortgage, charge or lease of immovable property shall, </w:t>
            </w:r>
          </w:p>
        </w:tc>
      </w:tr>
    </w:tbl>
    <w:p>
      <w:pPr>
        <w:autoSpaceDN w:val="0"/>
        <w:autoSpaceDE w:val="0"/>
        <w:widowControl/>
        <w:spacing w:line="254" w:lineRule="auto" w:before="18" w:after="12"/>
        <w:ind w:left="184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a period of two years from the appointed date, continue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be enforceable, but shall be required to be registered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the relevant provisions of the Secured Transactions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1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Act, No.              of  2023 as a pledge, mortgage or bill of sale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movable property, or an interest in a fixture of immovable 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2"/>
        <w:ind w:left="184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property or an assignment of a right to payment under 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mortgage, charge or lease of immovable property prior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expiration of such period of two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0" w:right="1152" w:firstLine="56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(2) An instrument referred to in subsection (1)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shall, on being registered under the Secured Transactions 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2" w:lineRule="exact" w:before="0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No.             of  2023, be deemed to have been perfected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 the date on which such instrument initially became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legally enforceable, and the priority which such instrument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became entitled to at the time it initially became legally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enforceable, shall continue to prevail.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324" w:lineRule="exact" w:before="0" w:after="0"/>
        <w:ind w:left="1706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4"/>
        </w:rPr>
        <w:t xml:space="preserve">4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Registration of  Documents (Amendment)</w:t>
      </w:r>
    </w:p>
    <w:p>
      <w:pPr>
        <w:autoSpaceDN w:val="0"/>
        <w:autoSpaceDE w:val="0"/>
        <w:widowControl/>
        <w:spacing w:line="252" w:lineRule="auto" w:before="112" w:after="14"/>
        <w:ind w:left="1706" w:right="2470" w:firstLine="55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(3) An instrument referred to in subsection (1) which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not registered under the Secured Transactions Act, No.   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2023 prior to the expiration of two years from the appointed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date, shall become legally unenforceable after the expiration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such period.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Sinhala text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6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event of any inconsistency between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Sinhala and Tamil texts of this Act, the Sinhala text shall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prevail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 case of </w:t>
            </w:r>
          </w:p>
        </w:tc>
      </w:tr>
      <w:tr>
        <w:trPr>
          <w:trHeight w:hRule="exact" w:val="18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88"/>
        <w:ind w:left="0" w:right="0"/>
      </w:pPr>
    </w:p>
    <w:p>
      <w:pPr>
        <w:autoSpaceDN w:val="0"/>
        <w:autoSpaceDE w:val="0"/>
        <w:widowControl/>
        <w:spacing w:line="244" w:lineRule="exact" w:before="44" w:after="0"/>
        <w:ind w:left="0" w:right="2604" w:firstLine="0"/>
        <w:jc w:val="right"/>
      </w:pPr>
      <w:r>
        <w:rPr>
          <w:rFonts w:ascii="MinionPro" w:hAnsi="MinionPro" w:eastAsia="MinionPro"/>
          <w:b w:val="0"/>
          <w:i w:val="0"/>
          <w:color w:val="221F1F"/>
          <w:sz w:val="18"/>
        </w:rPr>
        <w:t>Printed at the Department of 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