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8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8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ws</w:t>
      </w:r>
    </w:p>
    <w:p>
      <w:pPr>
        <w:autoSpaceDN w:val="0"/>
        <w:autoSpaceDE w:val="0"/>
        <w:widowControl/>
        <w:spacing w:line="320" w:lineRule="exact" w:before="494" w:after="0"/>
        <w:ind w:left="11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Ww</w:t>
      </w:r>
    </w:p>
    <w:p>
      <w:pPr>
        <w:autoSpaceDN w:val="0"/>
        <w:autoSpaceDE w:val="0"/>
        <w:widowControl/>
        <w:spacing w:line="240" w:lineRule="auto" w:before="9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0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>TRUST RECEIPTS (AMENDMENT)</w:t>
      </w:r>
    </w:p>
    <w:p>
      <w:pPr>
        <w:autoSpaceDN w:val="0"/>
        <w:autoSpaceDE w:val="0"/>
        <w:widowControl/>
        <w:spacing w:line="238" w:lineRule="auto" w:before="540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35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Trust Receipts Ordinance (Chapter 86)</w:t>
      </w:r>
    </w:p>
    <w:p>
      <w:pPr>
        <w:autoSpaceDN w:val="0"/>
        <w:autoSpaceDE w:val="0"/>
        <w:widowControl/>
        <w:spacing w:line="235" w:lineRule="auto" w:before="23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38" w:lineRule="auto" w:before="22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Minister of  Finance, Economic Stabilization and</w:t>
      </w:r>
    </w:p>
    <w:p>
      <w:pPr>
        <w:autoSpaceDN w:val="0"/>
        <w:autoSpaceDE w:val="0"/>
        <w:widowControl/>
        <w:spacing w:line="238" w:lineRule="auto" w:before="46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343938"/>
          <w:sz w:val="20"/>
        </w:rPr>
        <w:t>National Policies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09th of January, 2024</w:t>
      </w:r>
    </w:p>
    <w:p>
      <w:pPr>
        <w:autoSpaceDN w:val="0"/>
        <w:autoSpaceDE w:val="0"/>
        <w:widowControl/>
        <w:spacing w:line="238" w:lineRule="auto" w:before="2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November 10, 2023)</w:t>
      </w:r>
    </w:p>
    <w:p>
      <w:pPr>
        <w:autoSpaceDN w:val="0"/>
        <w:autoSpaceDE w:val="0"/>
        <w:widowControl/>
        <w:spacing w:line="238" w:lineRule="auto" w:before="25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1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02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228]</w:t>
      </w:r>
    </w:p>
    <w:p>
      <w:pPr>
        <w:autoSpaceDN w:val="0"/>
        <w:autoSpaceDE w:val="0"/>
        <w:widowControl/>
        <w:spacing w:line="245" w:lineRule="auto" w:before="126" w:after="100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74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12.00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920"/>
        </w:trPr>
        <w:tc>
          <w:tcPr>
            <w:tcW w:type="dxa" w:w="303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828" w:right="1440" w:bottom="1390" w:left="13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26"/>
        <w:ind w:left="0" w:right="0"/>
      </w:pPr>
    </w:p>
    <w:p>
      <w:pPr>
        <w:autoSpaceDN w:val="0"/>
        <w:autoSpaceDE w:val="0"/>
        <w:widowControl/>
        <w:spacing w:line="196" w:lineRule="exact" w:before="0" w:after="0"/>
        <w:ind w:left="0" w:right="0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0" w:lineRule="exact" w:before="224" w:after="0"/>
        <w:ind w:left="1436" w:right="1406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2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: This clause amends section 4 of the Trust Receipts Ordinance (Chapter 86),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and the legal effect of the section as amended is to provide for the legal consequences of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trust receipts registered under the Secured Transactions Act, No.  of 2024, but not under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the Registration of Documents Ordinance (Chapter 117).</w:t>
      </w:r>
    </w:p>
    <w:p>
      <w:pPr>
        <w:autoSpaceDN w:val="0"/>
        <w:autoSpaceDE w:val="0"/>
        <w:widowControl/>
        <w:spacing w:line="240" w:lineRule="exact" w:before="240" w:after="0"/>
        <w:ind w:left="1436" w:right="1404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Clause 3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: This clause makes provisions in regard to the period of enforceability of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trust receipts already registered under the Registration of Documents Ordinance and the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requirement of registering those trust receipts under the Secured Transactions Act, No.  of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2024 upon coming into operation of the said Act in order for them to be further enforceable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and for their priority to continue to prevail.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56"/>
        <w:ind w:left="0" w:right="0"/>
      </w:pPr>
    </w:p>
    <w:p>
      <w:pPr>
        <w:sectPr>
          <w:pgSz w:w="11900" w:h="16840"/>
          <w:pgMar w:top="1436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8" w:lineRule="exact" w:before="0" w:after="0"/>
        <w:ind w:left="0" w:right="14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L.D.-O. 64/2017</w:t>
      </w:r>
    </w:p>
    <w:p>
      <w:pPr>
        <w:sectPr>
          <w:type w:val="continuous"/>
          <w:pgSz w:w="11900" w:h="16840"/>
          <w:pgMar w:top="1436" w:right="1440" w:bottom="1440" w:left="1440" w:header="720" w:footer="720" w:gutter="0"/>
          <w:cols w:num="2" w:equalWidth="0">
            <w:col w:w="3026" w:space="0"/>
            <w:col w:w="5994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508"/>
        <w:ind w:left="14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Trust Receipts (Amendment)</w:t>
      </w:r>
    </w:p>
    <w:p>
      <w:pPr>
        <w:sectPr>
          <w:type w:val="nextColumn"/>
          <w:pgSz w:w="11900" w:h="16840"/>
          <w:pgMar w:top="1436" w:right="1440" w:bottom="1440" w:left="1440" w:header="720" w:footer="720" w:gutter="0"/>
          <w:cols w:num="2" w:equalWidth="0">
            <w:col w:w="3026" w:space="0"/>
            <w:col w:w="5994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58"/>
        <w:ind w:left="1782" w:right="2304" w:firstLine="44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N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CT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AMEND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THE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RUST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R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ECEIPTS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RDINANCE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(C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HAPTER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86)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78" w:after="0"/>
              <w:ind w:left="0" w:right="1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2" w:val="left"/>
              </w:tabs>
              <w:autoSpaceDE w:val="0"/>
              <w:widowControl/>
              <w:spacing w:line="210" w:lineRule="exact" w:before="96" w:after="0"/>
              <w:ind w:left="62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This Act may be cited as the Trust Receipts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(Amendment)  Act, No.    of 2024.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6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0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and date of</w:t>
            </w:r>
          </w:p>
        </w:tc>
      </w:tr>
      <w:tr>
        <w:trPr>
          <w:trHeight w:hRule="exact" w:val="113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92" w:after="0"/>
              <w:ind w:left="62" w:right="52" w:firstLine="36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(2) The provisions of this Act, other than the provisions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this section, shall come into operation on such date as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Minister may appoint by Order published in the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Gazette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(in this Act referred to as the “appointed date”).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</w:t>
            </w:r>
          </w:p>
        </w:tc>
      </w:tr>
      <w:tr>
        <w:trPr>
          <w:trHeight w:hRule="exact" w:val="8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6" w:after="0"/>
              <w:ind w:left="0" w:right="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16" w:after="0"/>
              <w:ind w:left="62" w:right="52" w:firstLine="36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(3) The provisions of this section shall come into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operation on the date on which the Bill becomes an Act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Parliament.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08" w:after="0"/>
              <w:ind w:left="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62" w:right="52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Section 4 of the Trust Receipts Ordinance (Chapter 86)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is hereby amended in subsection (1) of that section, by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substitution for the words “registered under the Registration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Documents Ordinance as a bill of sale”, of the words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figures “registered under the Secured Transactions Act,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No.    of  2024 as a bill of sale”.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6" w:after="0"/>
              <w:ind w:left="0" w:right="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section 4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Chapter</w:t>
            </w:r>
          </w:p>
        </w:tc>
      </w:tr>
      <w:tr>
        <w:trPr>
          <w:trHeight w:hRule="exact" w:val="8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86</w:t>
            </w:r>
          </w:p>
        </w:tc>
      </w:tr>
      <w:tr>
        <w:trPr>
          <w:trHeight w:hRule="exact" w:val="31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6" w:after="0"/>
              <w:ind w:left="0" w:right="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6" w:after="0"/>
              <w:ind w:left="62" w:right="52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3.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Where on the appointed date a trust receipt which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has been registered under the Registration of Documents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Ordinance (Chapter 117) as a bill of sale is in force, such trust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receipt shall, for a period of two years from the appointed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date, continue to be enforceable, but shall be required to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registered under the relevant provisions of the Secured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Transactions Act, No.    of  2024 as a bill of sale, prior to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expiration of such period of two years.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Provisions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relating to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trust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" w:after="0"/>
              <w:ind w:left="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receipts</w:t>
            </w:r>
          </w:p>
        </w:tc>
      </w:tr>
      <w:tr>
        <w:trPr>
          <w:trHeight w:hRule="exact" w:val="21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90" w:after="0"/>
              <w:ind w:left="0" w:right="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registered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under the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Registration</w:t>
            </w:r>
          </w:p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Documents</w:t>
            </w:r>
          </w:p>
        </w:tc>
      </w:tr>
      <w:tr>
        <w:trPr>
          <w:trHeight w:hRule="exact" w:val="14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50" w:after="0"/>
              <w:ind w:left="0" w:right="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66" w:after="0"/>
              <w:ind w:left="62" w:right="52" w:firstLine="36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(2) A bill of sale referred to in subsection (1) shall, 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being registered under the Secured Transactions Act,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No.   of  2024, be deemed to have been perfected from the date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on which such bill of sale initially became legally enforceable,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any priority which such bill of sale became entitled to at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time it initially became legally enforceable, shall continue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Ordinance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0" w:h="16840"/>
          <w:pgMar w:top="1436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2</w:t>
      </w:r>
    </w:p>
    <w:p>
      <w:pPr>
        <w:autoSpaceDN w:val="0"/>
        <w:tabs>
          <w:tab w:pos="2984" w:val="left"/>
        </w:tabs>
        <w:autoSpaceDE w:val="0"/>
        <w:widowControl/>
        <w:spacing w:line="282" w:lineRule="exact" w:before="616" w:after="0"/>
        <w:ind w:left="139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Trust Receipts (Amendment)</w:t>
      </w:r>
    </w:p>
    <w:p>
      <w:pPr>
        <w:autoSpaceDN w:val="0"/>
        <w:autoSpaceDE w:val="0"/>
        <w:widowControl/>
        <w:spacing w:line="276" w:lineRule="exact" w:before="164" w:after="6"/>
        <w:ind w:left="1710" w:right="2516" w:firstLine="47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A bill of sale referred to in subsection (1) which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not registered under the Secured Transactions Act, No.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2024 prior to the expiration of two years from the appointed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date, shall become legally unenforceable after the expiration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such period.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96" w:after="0"/>
              <w:ind w:left="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0" w:after="0"/>
              <w:ind w:left="28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 4.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1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44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3</w:t>
      </w:r>
    </w:p>
    <w:p>
      <w:pPr>
        <w:autoSpaceDN w:val="0"/>
        <w:autoSpaceDE w:val="0"/>
        <w:widowControl/>
        <w:spacing w:line="235" w:lineRule="auto" w:before="9422" w:after="0"/>
        <w:ind w:left="0" w:right="3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1"/>
        </w:rPr>
        <w:t>DEPARTMENT</w:t>
      </w:r>
      <w:r>
        <w:rPr>
          <w:rFonts w:ascii="Times" w:hAnsi="Times" w:eastAsia="Times"/>
          <w:b w:val="0"/>
          <w:i w:val="0"/>
          <w:color w:val="000000"/>
          <w:sz w:val="11"/>
        </w:rPr>
        <w:t>OF</w:t>
      </w:r>
      <w:r>
        <w:rPr>
          <w:rFonts w:ascii="Times" w:hAnsi="Times" w:eastAsia="Times"/>
          <w:b w:val="0"/>
          <w:i w:val="0"/>
          <w:color w:val="000000"/>
          <w:sz w:val="11"/>
        </w:rPr>
        <w:t>GOVERNMENT</w:t>
      </w:r>
      <w:r>
        <w:rPr>
          <w:rFonts w:ascii="Times" w:hAnsi="Times" w:eastAsia="Times"/>
          <w:b w:val="0"/>
          <w:i w:val="0"/>
          <w:color w:val="000000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