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546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40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8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28" w:after="0"/>
        <w:ind w:left="0" w:right="24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8" w:lineRule="auto" w:before="34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Finance, Economic Stabilization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Policies on 11th of January, 2024</w:t>
      </w:r>
    </w:p>
    <w:p>
      <w:pPr>
        <w:autoSpaceDN w:val="0"/>
        <w:autoSpaceDE w:val="0"/>
        <w:widowControl/>
        <w:spacing w:line="235" w:lineRule="auto" w:before="194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14, 2023)</w:t>
      </w:r>
    </w:p>
    <w:p>
      <w:pPr>
        <w:autoSpaceDN w:val="0"/>
        <w:autoSpaceDE w:val="0"/>
        <w:widowControl/>
        <w:spacing w:line="235" w:lineRule="auto" w:before="19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16" w:after="0"/>
        <w:ind w:left="0" w:right="38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236]</w:t>
      </w:r>
    </w:p>
    <w:p>
      <w:pPr>
        <w:autoSpaceDN w:val="0"/>
        <w:autoSpaceDE w:val="0"/>
        <w:widowControl/>
        <w:spacing w:line="245" w:lineRule="auto" w:before="102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5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1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increase the VAT rate from 15% to 18%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per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centum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on the value of goods </w:t>
      </w:r>
      <w:r>
        <w:rPr>
          <w:rFonts w:ascii="Times" w:hAnsi="Times" w:eastAsia="Times"/>
          <w:b w:val="0"/>
          <w:i w:val="0"/>
          <w:color w:val="000000"/>
          <w:sz w:val="16"/>
        </w:rPr>
        <w:t>or services supplied, or goods imported.</w:t>
      </w:r>
    </w:p>
    <w:p>
      <w:pPr>
        <w:autoSpaceDN w:val="0"/>
        <w:autoSpaceDE w:val="0"/>
        <w:widowControl/>
        <w:spacing w:line="247" w:lineRule="auto" w:before="204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decrease the threshold of registration for VAT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rupees eighty (80) million to rupees sixty (60) million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per annum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with effect from </w:t>
      </w:r>
      <w:r>
        <w:rPr>
          <w:rFonts w:ascii="Times" w:hAnsi="Times" w:eastAsia="Times"/>
          <w:b w:val="0"/>
          <w:i w:val="0"/>
          <w:color w:val="000000"/>
          <w:sz w:val="16"/>
        </w:rPr>
        <w:t>January 1,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854" w:val="left"/>
        </w:tabs>
        <w:autoSpaceDE w:val="0"/>
        <w:widowControl/>
        <w:spacing w:line="382" w:lineRule="auto" w:before="442" w:after="0"/>
        <w:ind w:left="17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L.D.-O. 74/2023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343" w:lineRule="auto" w:before="276" w:after="0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Value Added Tax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2" w:after="19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Value Added Tax Act, No. 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2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amended, in sub-paragraph (v)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3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that section as follows: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2002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item (vii), for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figures “at the rate of twelve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(of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tax fraction is 3/28); and”, of the words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“at the rate of twelve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tax fraction is 3/28);”;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item (viii), for the words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figures “for any taxable period commencing on or</w:t>
            </w:r>
          </w:p>
        </w:tc>
      </w:tr>
    </w:tbl>
    <w:p>
      <w:pPr>
        <w:autoSpaceDN w:val="0"/>
        <w:tabs>
          <w:tab w:pos="2114" w:val="left"/>
          <w:tab w:pos="2516" w:val="left"/>
        </w:tabs>
        <w:autoSpaceDE w:val="0"/>
        <w:widowControl/>
        <w:spacing w:line="293" w:lineRule="auto" w:before="14" w:after="216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October 1, 2022 at the rate of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(of which the tax fraction is 3/23).”, of the words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“for any taxable period commencing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October 1, 2022 but ending on December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31, 2023 at the rate of 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tax fraction is 3/23); and”;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the item (viii)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item:-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“(ix)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taxable period commencing 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after January 1, 2024 at the rate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3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eighteen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fraction is 9/59).”.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2" w:lineRule="auto" w:before="266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paragraph in (vii), for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“(vii) on or after October 1, 2022,”,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“(vii) on or after October 1, </w:t>
      </w:r>
      <w:r>
        <w:rPr>
          <w:rFonts w:ascii="Times" w:hAnsi="Times" w:eastAsia="Times"/>
          <w:b w:val="0"/>
          <w:i w:val="0"/>
          <w:color w:val="221F1F"/>
          <w:sz w:val="20"/>
        </w:rPr>
        <w:t>2022 but on or before December 31, 2023,”;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76" w:after="0"/>
        <w:ind w:left="202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paragraph (vii),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paragraph:-</w:t>
      </w:r>
    </w:p>
    <w:p>
      <w:pPr>
        <w:autoSpaceDN w:val="0"/>
        <w:tabs>
          <w:tab w:pos="2566" w:val="left"/>
          <w:tab w:pos="3206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“(viii) on or after January 1, 2024, carries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shall be required to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under this Act, if–</w:t>
      </w:r>
    </w:p>
    <w:p>
      <w:pPr>
        <w:autoSpaceDN w:val="0"/>
        <w:tabs>
          <w:tab w:pos="3460" w:val="left"/>
          <w:tab w:pos="3862" w:val="left"/>
        </w:tabs>
        <w:autoSpaceDE w:val="0"/>
        <w:widowControl/>
        <w:spacing w:line="259" w:lineRule="auto" w:before="276" w:after="14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end of any taxable period,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total value of the taxable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made in Sri Lanka in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has exceeded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fifteen million rupees;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twelve months period then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 goods and services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person, made in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exceeded sixty million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time, there are reasonable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57" w:lineRule="auto" w:before="1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taxable supplies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or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of such person, made in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6492" w:val="left"/>
        </w:tabs>
        <w:autoSpaceDE w:val="0"/>
        <w:widowControl/>
        <w:spacing w:line="238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50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Lanka, in the succeeding</w:t>
      </w:r>
    </w:p>
    <w:p>
      <w:pPr>
        <w:autoSpaceDN w:val="0"/>
        <w:autoSpaceDE w:val="0"/>
        <w:widowControl/>
        <w:spacing w:line="238" w:lineRule="auto" w:before="26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taxable period, is likely to exceed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fifteen million rupees or in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twelve months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likely to exceed sixty million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44"/>
        </w:trPr>
        <w:tc>
          <w:tcPr>
            <w:tcW w:type="dxa" w:w="9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4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