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0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January 12,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17.01.2024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4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 SRI LANKA NATIONAL COMMISSION FOR UNESCO</w:t>
      </w:r>
    </w:p>
    <w:p>
      <w:pPr>
        <w:autoSpaceDN w:val="0"/>
        <w:autoSpaceDE w:val="0"/>
        <w:widowControl/>
        <w:spacing w:line="235" w:lineRule="auto" w:before="29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8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provide for the establishment of the National Commission for the United</w:t>
      </w:r>
    </w:p>
    <w:p>
      <w:pPr>
        <w:autoSpaceDN w:val="0"/>
        <w:autoSpaceDE w:val="0"/>
        <w:widowControl/>
        <w:spacing w:line="235" w:lineRule="auto" w:before="1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Nations Educational, Scientific and Cultural Organization (UNESCO); and</w:t>
      </w:r>
    </w:p>
    <w:p>
      <w:pPr>
        <w:autoSpaceDN w:val="0"/>
        <w:autoSpaceDE w:val="0"/>
        <w:widowControl/>
        <w:spacing w:line="238" w:lineRule="auto" w:before="1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for matters connected therewith or  incidental thereto</w:t>
      </w:r>
    </w:p>
    <w:p>
      <w:pPr>
        <w:autoSpaceDN w:val="0"/>
        <w:autoSpaceDE w:val="0"/>
        <w:widowControl/>
        <w:spacing w:line="235" w:lineRule="auto" w:before="318" w:after="0"/>
        <w:ind w:left="0" w:right="22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Education</w:t>
      </w:r>
    </w:p>
    <w:p>
      <w:pPr>
        <w:autoSpaceDN w:val="0"/>
        <w:autoSpaceDE w:val="0"/>
        <w:widowControl/>
        <w:spacing w:line="238" w:lineRule="auto" w:before="35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48.00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80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4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National Commission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3792" w:val="left"/>
        </w:tabs>
        <w:autoSpaceDE w:val="0"/>
        <w:widowControl/>
        <w:spacing w:line="293" w:lineRule="auto" w:before="54" w:after="0"/>
        <w:ind w:left="1798" w:right="417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UNESCO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L.D.—O. 46/2008</w:t>
      </w:r>
    </w:p>
    <w:p>
      <w:pPr>
        <w:autoSpaceDN w:val="0"/>
        <w:autoSpaceDE w:val="0"/>
        <w:widowControl/>
        <w:spacing w:line="319" w:lineRule="auto" w:before="226" w:after="0"/>
        <w:ind w:left="2038" w:right="242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CIENTIFIC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ULTURAL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(UNESCO);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43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Sri Lanka obtained the membership of the United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tabs>
          <w:tab w:pos="1796" w:val="left"/>
        </w:tabs>
        <w:autoSpaceDE w:val="0"/>
        <w:widowControl/>
        <w:spacing w:line="329" w:lineRule="auto" w:before="10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Educational, Scientific and Cultural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[UNESCO] in 1949, embracing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vision of UNESCO to contribute to the building of a culture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peace, eradication of poverty, sustainable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inter cultural dialog through education, sciences,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culture, communication and information:</w:t>
      </w:r>
    </w:p>
    <w:p>
      <w:pPr>
        <w:autoSpaceDN w:val="0"/>
        <w:tabs>
          <w:tab w:pos="1796" w:val="left"/>
        </w:tabs>
        <w:autoSpaceDE w:val="0"/>
        <w:widowControl/>
        <w:spacing w:line="331" w:lineRule="auto" w:before="43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Article VII of the Constitution of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mandates each member to form a National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as agencies of liaison  between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including the relevant public, semi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governmental, private and civil organization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and contribute in the advancement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 UNESCO and in the implementation of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10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 in support of UNESCO priorities:</w:t>
      </w:r>
    </w:p>
    <w:p>
      <w:pPr>
        <w:autoSpaceDN w:val="0"/>
        <w:autoSpaceDE w:val="0"/>
        <w:widowControl/>
        <w:spacing w:line="290" w:lineRule="auto" w:before="40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90" w:lineRule="auto" w:before="438" w:after="0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National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UNESCO Act, No.    of 2024.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5" w:lineRule="auto" w:before="378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54" w:lineRule="auto" w:before="294" w:after="234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Sri Lanka National Commission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(hereinafter referred to as the “Commission”).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</w:tbl>
    <w:p>
      <w:pPr>
        <w:autoSpaceDN w:val="0"/>
        <w:tabs>
          <w:tab w:pos="6642" w:val="left"/>
        </w:tabs>
        <w:autoSpaceDE w:val="0"/>
        <w:widowControl/>
        <w:spacing w:line="264" w:lineRule="auto" w:before="6" w:after="0"/>
        <w:ind w:left="19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 UNESCO</w:t>
      </w:r>
    </w:p>
    <w:p>
      <w:pPr>
        <w:autoSpaceDN w:val="0"/>
        <w:autoSpaceDE w:val="0"/>
        <w:widowControl/>
        <w:spacing w:line="257" w:lineRule="auto" w:before="32" w:after="21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2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Commission shall be: -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assume, alone or in collaboration with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bodies, the responsibility for –</w:t>
      </w:r>
    </w:p>
    <w:p>
      <w:pPr>
        <w:autoSpaceDN w:val="0"/>
        <w:tabs>
          <w:tab w:pos="2904" w:val="left"/>
        </w:tabs>
        <w:autoSpaceDE w:val="0"/>
        <w:widowControl/>
        <w:spacing w:line="254" w:lineRule="auto" w:before="294" w:after="234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operation of all UNESCO funded or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initiation, co-sponsorship and endorsement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4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UNESCO resolutions, guidelines,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conventions and other instruments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Executive Board and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Conference;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Lanka’s active participation in sub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4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regional, regional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activities, ensuring benefit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people of Sri Lanka without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discrimination;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submitting nominations to UNESCO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registries.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112" w:after="218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link the relevant ministries, 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departments, semi government, non-government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private agencies, institutions, organizations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intellectuals and the people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effectively with the UNESCO programmes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securing the intellectual, scientific,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artistic or administrative resources and capacities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available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international cooperation and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partnerships for Sri Lanka as envisaged in Article II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UNESCO Constitution –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planning and execution of activities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entrusted to UNESCO which are undertaken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assistance of organizations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United Nations family and other international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and programmes;</w:t>
      </w:r>
    </w:p>
    <w:p>
      <w:pPr>
        <w:autoSpaceDN w:val="0"/>
        <w:tabs>
          <w:tab w:pos="2578" w:val="left"/>
          <w:tab w:pos="2998" w:val="left"/>
        </w:tabs>
        <w:autoSpaceDE w:val="0"/>
        <w:widowControl/>
        <w:spacing w:line="259" w:lineRule="auto" w:before="278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mutually beneficial UNESCO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with UNESCO affiliated bodies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international organizations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conducting international, regional and sub-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activities with a view to achieving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objectives of UNESCO;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facilitate the exchange of information in areas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related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education,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science,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culture,</w:t>
            </w:r>
          </w:p>
        </w:tc>
      </w:tr>
      <w:tr>
        <w:trPr>
          <w:trHeight w:hRule="exact" w:val="27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 and information  through local,</w:t>
            </w:r>
          </w:p>
        </w:tc>
      </w:tr>
    </w:tbl>
    <w:p>
      <w:pPr>
        <w:autoSpaceDN w:val="0"/>
        <w:autoSpaceDE w:val="0"/>
        <w:widowControl/>
        <w:spacing w:line="257" w:lineRule="auto" w:before="8" w:after="21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and global programmes organized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and acting as a clearing house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the related fields and disseminating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arouse public interest in those areas;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introduce UNESCO conventions and other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instruments to relevant Ministries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ratification and follow up;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118" w:after="24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technical assistance to and capacity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in Sri Lanka through the UNESCO system;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contribute to the UNESCO’s vision of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of peace, security and the common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welfare of mankind by participating in the activities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UNESCO through education, science, culture,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and information which are the main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pillars of foundation of UNESCO.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powers, duties and functions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to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and sustain international liaison,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0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coordination, consultations and advocacy with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UNESCO system and 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appropriate representations and facilitate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interventions by Sri Lanka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General Conference, Executive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summits,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conferences,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38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intergovernmental meetings;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 stakeholders, implement and monitor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conventions, resolutions and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initiate, fund, coordinate and monitor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programmes, Centers, Sites, Cities,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Networks, Associations, Clubs, and Chairs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collaborations with the Sri Lankan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and support with technical assistance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capacity building through the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6" w:lineRule="auto" w:before="112" w:after="0"/>
        <w:ind w:left="14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National committees, steering committees,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committees, expert committees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in UNESCO areas of competence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terms of reference to support activities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decide on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for the committee members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consultants;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celebrate UNESCO declared days, years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decades, as relevant to Sri Lanka with stakeholders;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disseminate information on and recommend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3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candidates for UNESCO awards, fellowships,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chairs, study grants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reports, information and data relating to all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matters as may be necessary to enable the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20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effectively exercise, perform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any of its powers,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from government and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governmental institutions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control, including dismissal,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over the officers and employees of the Commission;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erect, rent, equip and maintain such buildings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memorials including offices, libraries, pavilions,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halls and conference halls, and UNESCO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plaques as are necessary for the discharge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sufficient authority in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to enable it to carry out efficiently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Commission and to increase its</w:t>
      </w:r>
    </w:p>
    <w:p>
      <w:pPr>
        <w:autoSpaceDN w:val="0"/>
        <w:tabs>
          <w:tab w:pos="2518" w:val="left"/>
        </w:tabs>
        <w:autoSpaceDE w:val="0"/>
        <w:widowControl/>
        <w:spacing w:line="283" w:lineRule="auto" w:before="3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participation in the activities of UNESCO;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11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authorize, certify and permit relevant stakeholders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conduct activities relevant to UNESCO mandate;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4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 and issue operating manuals, guidelines </w:t>
      </w:r>
      <w:r>
        <w:rPr>
          <w:rFonts w:ascii="Times" w:hAnsi="Times" w:eastAsia="Times"/>
          <w:b w:val="0"/>
          <w:i w:val="0"/>
          <w:color w:val="221F1F"/>
          <w:sz w:val="20"/>
        </w:rPr>
        <w:t>and regulations to direct and facilitate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 of the Secretariat;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disseminate information to the mass and digital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media to reach out to the general public, individuals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institutions concerned on any aspect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UNESCO’s objectives, programmes and 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and mobilize local (government or private)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or foreign funds for the implementation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UNESCO programmes:</w:t>
      </w:r>
    </w:p>
    <w:p>
      <w:pPr>
        <w:autoSpaceDN w:val="0"/>
        <w:autoSpaceDE w:val="0"/>
        <w:widowControl/>
        <w:spacing w:line="245" w:lineRule="auto" w:before="252" w:after="6"/>
        <w:ind w:left="2422" w:right="2448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contrary in any other provisions of this Act,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 obtain the prior written approval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Department of external Resources in respect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9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all foreign funds;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annual and other membership or subscription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fees to UNESCO and UNESCO affiliated bodies;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all such contracts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of Understandings (MOUs)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necessary for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powers, duties and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conduct joint or independent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studies, researches, deliberations, and consultations </w:t>
      </w:r>
      <w:r>
        <w:rPr>
          <w:rFonts w:ascii="Times" w:hAnsi="Times" w:eastAsia="Times"/>
          <w:b w:val="0"/>
          <w:i w:val="0"/>
          <w:color w:val="221F1F"/>
          <w:sz w:val="20"/>
        </w:rPr>
        <w:t>on matters of interest to UNESCO;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2" w:after="6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outsource money for appropriate payments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relevant financial regulations,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research, data collating or any other services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activities necessary for the smooth and efficient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the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112" w:after="220"/>
        <w:ind w:left="21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ownership of all research, any material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collected by any person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and be responsible for the protection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research, material or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and coordinate of UNESCO activities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permit the use of UNESCO approved logo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listed sites and items and activities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charge fees for such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open and maintain, current, savings and deposit or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fixed accounts in any bank or banks and     invest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funds as are not immediately required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Commission in such securities as 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gifts, contributions, grants or donations from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or foreign sources, whether in cash or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for the purpose of discharging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Commission: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59" w:lineRule="auto" w:before="278" w:after="218"/>
        <w:ind w:left="145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notwithstanding anything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provisions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obtain prior written approval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of External Resources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foreign grants, gifts or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a levy on every visitor to UNESCO heritage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sites and biosphere reserves and other UNESCO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sites  in Sri Lanka, calculated at such rate as may be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fixed by the Minister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in charge of the subject of Finance;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9" w:lineRule="auto" w:before="278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and hold, take or give on lease, mortgage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hire, pledge or sell or otherwise dispose of,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property, for the purpose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functions of the Commission;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112" w:after="22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and perform all such contracts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powers, duties and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Commission shall consist of 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6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7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ex- officio members, namely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or Deputy Minister or State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1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in charge of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an additional secretary of such Ministry;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59" w:lineRule="auto" w:before="292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or his nominee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 below   the rank of Deputy Secretary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Foreign Affairs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of such Ministry;</w:t>
      </w:r>
    </w:p>
    <w:p>
      <w:pPr>
        <w:autoSpaceDN w:val="0"/>
        <w:tabs>
          <w:tab w:pos="2498" w:val="left"/>
          <w:tab w:pos="2902" w:val="left"/>
          <w:tab w:pos="2904" w:val="left"/>
        </w:tabs>
        <w:autoSpaceDE w:val="0"/>
        <w:widowControl/>
        <w:spacing w:line="262" w:lineRule="auto" w:before="29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Vocational Training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;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294" w:after="18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Higher Education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nominee not below the rank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secretary;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the subject of  Science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4" w:lineRule="auto" w:before="11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or his nominee not below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rank of an additional secretary;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2" w:after="8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Ocean or his nominee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an additional secretary;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Environment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not below the rank of an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Culture or his nominee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below the rank of an additional secretary;</w:t>
      </w:r>
    </w:p>
    <w:p>
      <w:pPr>
        <w:autoSpaceDN w:val="0"/>
        <w:tabs>
          <w:tab w:pos="2532" w:val="left"/>
          <w:tab w:pos="2998" w:val="left"/>
        </w:tabs>
        <w:autoSpaceDE w:val="0"/>
        <w:widowControl/>
        <w:spacing w:line="262" w:lineRule="auto" w:before="292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documentary heritage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secretary;</w:t>
      </w:r>
    </w:p>
    <w:p>
      <w:pPr>
        <w:autoSpaceDN w:val="0"/>
        <w:tabs>
          <w:tab w:pos="2998" w:val="left"/>
          <w:tab w:pos="3000" w:val="left"/>
        </w:tabs>
        <w:autoSpaceDE w:val="0"/>
        <w:widowControl/>
        <w:spacing w:line="259" w:lineRule="auto" w:before="294" w:after="16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Mass media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nominee not below the rank of an additional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not below the rank of an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General of the Sri Lanka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0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National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UNESCO;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290" w:after="0"/>
        <w:ind w:left="24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six Chairpersons of the six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Committees established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112" w:after="218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members appointed by the Minister from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have distinguished themselves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fields of education, natural science, social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human science, culture, and communication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be the Chairperson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Vice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Secretary to the Ministry of the Minister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Vice Chairperson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1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and the Vice Chairperson shall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Commission, as long as he holds the office by </w:t>
      </w:r>
      <w:r>
        <w:rPr>
          <w:rFonts w:ascii="Times" w:hAnsi="Times" w:eastAsia="Times"/>
          <w:b w:val="0"/>
          <w:i w:val="0"/>
          <w:color w:val="221F1F"/>
          <w:sz w:val="20"/>
        </w:rPr>
        <w:t>virtue of which he has been appointed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8" w:after="21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may act as the Chairperson in addition to his </w:t>
      </w:r>
      <w:r>
        <w:rPr>
          <w:rFonts w:ascii="Times" w:hAnsi="Times" w:eastAsia="Times"/>
          <w:b w:val="0"/>
          <w:i w:val="0"/>
          <w:color w:val="221F1F"/>
          <w:sz w:val="20"/>
        </w:rPr>
        <w:t>normal duties as the Vice Chairperson.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continuing as an appointed member of the Commission, if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continuing as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 member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member, of Parliament,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or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not, or 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 citizen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who, having been declared an insolvent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 bankrupt under any law in Sri Lanka or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country, is an undischarged insolvent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11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under any law in force in Sri Lanka or any other</w:t>
      </w:r>
    </w:p>
    <w:p>
      <w:pPr>
        <w:autoSpaceDN w:val="0"/>
        <w:autoSpaceDE w:val="0"/>
        <w:widowControl/>
        <w:spacing w:line="238" w:lineRule="auto" w:before="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02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is serving or has served a sentence of imprisonment</w:t>
      </w:r>
    </w:p>
    <w:p>
      <w:pPr>
        <w:autoSpaceDN w:val="0"/>
        <w:autoSpaceDE w:val="0"/>
        <w:widowControl/>
        <w:spacing w:line="235" w:lineRule="auto" w:before="40" w:after="24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imposed by a court of Sri Lanka or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or enjoys any right or benefit under any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contract made by, or on behalf of the Commission;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0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any financial or other interest as is likely to</w:t>
      </w:r>
    </w:p>
    <w:p>
      <w:pPr>
        <w:autoSpaceDN w:val="0"/>
        <w:autoSpaceDE w:val="0"/>
        <w:widowControl/>
        <w:spacing w:line="235" w:lineRule="auto" w:before="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affect prejudicially the discharge by him of his</w:t>
      </w:r>
    </w:p>
    <w:p>
      <w:pPr>
        <w:autoSpaceDN w:val="0"/>
        <w:autoSpaceDE w:val="0"/>
        <w:widowControl/>
        <w:spacing w:line="235" w:lineRule="auto" w:before="40" w:after="244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absent from three consecutive meetings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without the permission of the</w:t>
      </w:r>
    </w:p>
    <w:p>
      <w:pPr>
        <w:autoSpaceDN w:val="0"/>
        <w:autoSpaceDE w:val="0"/>
        <w:widowControl/>
        <w:spacing w:line="238" w:lineRule="auto" w:before="36" w:after="246"/>
        <w:ind w:left="0" w:right="5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appointed member of the Commission shall,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he vacates office earlier by death, resignation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hold office for a period of three years from the date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his appointment and shall, unless he has been removed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be eligible for re-appointment for not more than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one further 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member of the Commission may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time, resign his office by letter in that behalf addressed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Minister, and such resignation shall take effect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resignation is accepted in writing by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autoSpaceDE w:val="0"/>
        <w:widowControl/>
        <w:spacing w:line="238" w:lineRule="auto" w:before="30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may, for reasons assigned remove any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 from office. An appointed member who</w:t>
      </w:r>
    </w:p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has been removed from office shall not be eligible for re-</w:t>
      </w:r>
    </w:p>
    <w:p>
      <w:pPr>
        <w:autoSpaceDN w:val="0"/>
        <w:autoSpaceDE w:val="0"/>
        <w:widowControl/>
        <w:spacing w:line="238" w:lineRule="auto" w:before="3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appointment as a member of the Commission or to serve the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in any other capacity.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8" w:lineRule="auto" w:before="120" w:after="0"/>
        <w:ind w:left="140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the un-expired period of the term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8" w:lineRule="auto" w:before="32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Commission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 or if he is absent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a period of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any other person to act in place of such member </w:t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78" w:lineRule="auto" w:before="320" w:after="260"/>
        <w:ind w:left="1356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Commission fails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attend three consecutive meetings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notifying his absence in advance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deemed to have vacated his office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shall appoint another person to fill such vacancy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Conference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year to deliberate and resolve the following matters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Conference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government on UNESCO related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 including supporting, signing, ratification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4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adoption of UNESCO conventions, agreements </w:t>
      </w:r>
      <w:r>
        <w:rPr>
          <w:rFonts w:ascii="Times" w:hAnsi="Times" w:eastAsia="Times"/>
          <w:b w:val="0"/>
          <w:i w:val="0"/>
          <w:color w:val="221F1F"/>
          <w:sz w:val="20"/>
        </w:rPr>
        <w:t>and major initiatives;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32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and approve the strategic plan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Commission in line with UNESCO’s major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112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and approve activities and budgets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Secretariat and approval of annual action plan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annual budget of the National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adoption of annual report and the responses to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auditor general’s report;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evaluate the performance of the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2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Commission and recommend and approve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incentives for the staff of the Secretariat;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delegation of powers  to the Secretary General of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Commission as deemed necessary;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on study and consultative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reports produced by the Secretariat.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any meeting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twelve members and every meeting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Meetings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presided by the Chairperson.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absence of the Chairperson from any meeting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any member elected by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shall preside at such meeting of the Commission.</w:t>
      </w:r>
    </w:p>
    <w:p>
      <w:pPr>
        <w:autoSpaceDN w:val="0"/>
        <w:autoSpaceDE w:val="0"/>
        <w:widowControl/>
        <w:spacing w:line="235" w:lineRule="auto" w:before="282" w:after="22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 meeting of the Commission may be held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number of members who constitute a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 - visual communication by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members participating and constituting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8" w:right="1152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can simultaneously see and hear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member for the duration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meeting; or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82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combination of both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10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and voting at such meeting. In the case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his vote, have a casting vote.</w:t>
      </w:r>
    </w:p>
    <w:p>
      <w:pPr>
        <w:autoSpaceDN w:val="0"/>
        <w:autoSpaceDE w:val="0"/>
        <w:widowControl/>
        <w:spacing w:line="250" w:lineRule="auto" w:before="260" w:after="20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meet at least once in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year. However, special or extraordinary general meetings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convened, if and when required by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act, notwithstanding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or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members, and any act or proceeding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not be, or deemed to be, invalid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only of the existence of any vacancy among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not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any defect in the appointment of a member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invalid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32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members of the Commission shall be remunerated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and at such rates as may be determined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with the concurrence of the Minister assigned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Commission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decide from time to time;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62" w:after="19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instrument or document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with the sanction of the Commission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presence of two members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 instrument or document in token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their presence.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0" w:lineRule="auto" w:before="102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on the recommendation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National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General appoint such number of 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Committees, experts and consultants as it considers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expedient to assist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 or imposed on the Commission by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4" w:after="20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Committees appointed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Education;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Natural Science;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Social and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 Science;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Culture;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National Committee on Communication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Information;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intersectoral National committee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falling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UNESCO mandate) .</w:t>
            </w:r>
          </w:p>
        </w:tc>
      </w:tr>
    </w:tbl>
    <w:p>
      <w:pPr>
        <w:autoSpaceDN w:val="0"/>
        <w:autoSpaceDE w:val="0"/>
        <w:widowControl/>
        <w:spacing w:line="252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a Chairperson or Co- Chairpersons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National Committee appointed by the Commission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 of the Secretary General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National Committees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shall possess such qualifications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expertise in a particular field to effectively address the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reference of such relevant Committees.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118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member of the National Committee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he vacates office earlier by death, resignation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three years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 and shall, unless he has been removed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 be eligible for re-appointment for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one further term, whether consecutive or otherwise.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event of the vacation of office by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member, the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recommendation of the Secretary General,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to fill such vacancy and such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unexpired period of the term of office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member whom he succeeds.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 Where any member of a National Committee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 or if he is absent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a period of not less than three months,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the recommendation of the Secretary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appoint any other person to act in place of such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 Where any member of a National Committee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the National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notifying his absence in advance to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deemed to have vacated his office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on the recommendation of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General shall appoint another person to fill such vacancy.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members of every National Committee and experts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subsection (2), shall be paid such allowances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reimbursed for any expenses incurred in connection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carrying out of any duties assigned,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determine with the concurrence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106" w:after="68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6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duties and functions of the National Committees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section 15 shall be to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</w:tr>
    </w:tbl>
    <w:p>
      <w:pPr>
        <w:autoSpaceDN w:val="0"/>
        <w:tabs>
          <w:tab w:pos="2112" w:val="left"/>
          <w:tab w:pos="2518" w:val="left"/>
          <w:tab w:pos="6718" w:val="left"/>
        </w:tabs>
        <w:autoSpaceDE w:val="0"/>
        <w:widowControl/>
        <w:spacing w:line="286" w:lineRule="auto" w:before="4" w:after="280"/>
        <w:ind w:left="1522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Committees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advise and support the Commission to effectively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the activities of the Commission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any issue related to UNESCO’s areas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competence;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1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study,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deliberate,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83" w:lineRule="auto" w:before="2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on national policy, position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international UNESCO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initiatives, conventions, programmes and items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presented to UNESCO General Conference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Executive Board;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81" w:lineRule="auto" w:before="34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Secretary General guided by UNESCO’s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strategic areas, programmes and documents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implement and monitor Programmes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projects of the Commission in the relevant areas;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338" w:after="27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on the annual action plan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budget of each specialized area covered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Committee;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any other activity in support of UNESCO</w:t>
            </w:r>
          </w:p>
        </w:tc>
      </w:tr>
    </w:tbl>
    <w:p>
      <w:pPr>
        <w:autoSpaceDN w:val="0"/>
        <w:autoSpaceDE w:val="0"/>
        <w:widowControl/>
        <w:spacing w:line="266" w:lineRule="auto" w:before="28" w:after="2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as may be decided by the Commission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recommendation of the Secretary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may, from time to time appoint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 hoc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 hoc committees for specified purposes consisting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memberships of the Commission or other persons,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both with such powers, duties and functions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8" w:lineRule="auto" w:before="288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4" w:lineRule="auto" w:before="132" w:after="232"/>
        <w:ind w:left="1728" w:right="2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ECRETARIAT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ECRETARY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>, D</w:t>
      </w:r>
      <w:r>
        <w:rPr>
          <w:rFonts w:ascii="Times" w:hAnsi="Times" w:eastAsia="Times"/>
          <w:b w:val="0"/>
          <w:i w:val="0"/>
          <w:color w:val="221F1F"/>
          <w:sz w:val="14"/>
        </w:rPr>
        <w:t>EPUTY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ECRETARY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secretariat (hereinafter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“secretariat “) to assume, alone or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collaboration with other bodies, the responsibility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all decisions, directives, operations and finances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2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Commission and to initiate, support,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implement, manage, monitor and evaluate all activities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4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in writing and subject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may be specified therein, delegate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of the Commission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19, the powers, duties and functions conferred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under section 4 and the Secretary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shall exercise, perform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powers, duties and functions in the name and on behalf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24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may, notwithstanding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delegation made under subsection (2), by itself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any power, duty or function so delegated </w:t>
      </w:r>
      <w:r>
        <w:rPr>
          <w:rFonts w:ascii="Times" w:hAnsi="Times" w:eastAsia="Times"/>
          <w:b w:val="0"/>
          <w:i w:val="0"/>
          <w:color w:val="221F1F"/>
          <w:sz w:val="20"/>
        </w:rPr>
        <w:t>and may at any time revoke any such delegation.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a person who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not less than twenty years of academic or professional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experience in the fields of education, natural science, social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human science, culture, communication and information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international relations, as the Secretary General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(in this Act referred to as the “Secretary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General”).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112" w:after="0"/>
        <w:ind w:left="152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General shall be the Chief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Commission and shall be responsible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planning, executing, managing and monitoring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and affairs on behalf of the Commission,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Secretariat including–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 strategic vision and direction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overall structure and operations of the Secretariat;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recruitment and management of staff to the cadre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positions as approved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appointing such National Committees, ad hoc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experts and consultants in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areas of competence with specific terms of reference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support activities and assignments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and recommend to the Commission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remunaration for the committee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members, experts</w:t>
      </w:r>
      <w:r>
        <w:rPr>
          <w:rFonts w:ascii="Times" w:hAnsi="Times" w:eastAsia="Times"/>
          <w:b w:val="0"/>
          <w:i w:val="0"/>
          <w:color w:val="221F1F"/>
          <w:sz w:val="20"/>
        </w:rPr>
        <w:t>and consultants;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operational, administrative and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of the UNESCO Scholarship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established under the UNESCO Scholarship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Fund Act, No. 44 of 1999;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submission of the annual action plan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prepared in accordance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work programme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with the UNESCO’s programmes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preparing of the manual of procedures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revisions from time to time for the smooth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Commission and the Secretariat;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11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fund of the Commission;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6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General shall be entitled to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 of the Commission,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established under this Act.</w:t>
      </w:r>
    </w:p>
    <w:p>
      <w:pPr>
        <w:autoSpaceDN w:val="0"/>
        <w:autoSpaceDE w:val="0"/>
        <w:widowControl/>
        <w:spacing w:line="238" w:lineRule="auto" w:before="260" w:after="20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Secretary General may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delegate any of the functions of the Secretary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to the Deputy Secretary General or any other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Secretariat as seem appropriate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smooth discharge of responsibilities;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52" w:lineRule="auto" w:before="260" w:after="20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Commission acquire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 such rights, privileges, powers, licenses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authorities as may be necessary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and discharge of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Commission enter into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 with institutions whether in Sri Lanka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abroad having objects wholly or partly similar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UNESCO and the Commission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collaborative activities and the exchange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technical personnel;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Commission and in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respective committees,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nominate, support and fund suitable experts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attend the UNESCO meetings; and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6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collect, print and publish reports, periodicals, books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papers on subjects relevant to UNESCO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32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priorities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7" w:lineRule="auto" w:before="10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Secretary General may be paid such remuneration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manner and at such rates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with the concurrence of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a person who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fifteen years of academic or professional experience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Deputy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fields of education, natural science, social and human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</w:t>
            </w:r>
          </w:p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science, culture, communication, administration or finance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Deputy Secretary General of the Commission (in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a Deputy Secretary General).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1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Deputy Secretary General shall assist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to exercise, perform and discharge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of the Commission and carry out the duties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by the Secretary General.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5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Deputy Secretary General shall function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UNESCO General Conference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Deputy Secretary General may be paid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in such manner and at such rates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with the concurrence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General and the Deputy Secretary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 hold office for a period of four years and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for re-appointment for not more than one further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 of office 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Deputy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Secretary</w:t>
      </w:r>
    </w:p>
    <w:p>
      <w:pPr>
        <w:autoSpaceDN w:val="0"/>
        <w:tabs>
          <w:tab w:pos="6718" w:val="left"/>
        </w:tabs>
        <w:autoSpaceDE w:val="0"/>
        <w:widowControl/>
        <w:spacing w:line="305" w:lineRule="auto" w:before="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for reasons assigned remove the </w:t>
      </w: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2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or the Deputy Secretary General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considering and affording an opportunity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or the Deputy Secretary General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 to respond to any allegations made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62" w:lineRule="auto" w:before="1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office of the Secretary General and the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General shall become vacant upon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 from office or resignation by letter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232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any vacancy occurs in the office of the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Minister may appoint the Deputy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to perform the duties of the Secretary General, until </w:t>
      </w:r>
      <w:r>
        <w:rPr>
          <w:rFonts w:ascii="Times" w:hAnsi="Times" w:eastAsia="Times"/>
          <w:b w:val="0"/>
          <w:i w:val="0"/>
          <w:color w:val="221F1F"/>
          <w:sz w:val="20"/>
        </w:rPr>
        <w:t>an appointment is made to such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General may with the concurrence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Commission appoint such number of officers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2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as he may consider necessary for the efficient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and discharge of its powers and functions,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Services.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in respect of the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appointed under subsection (1), exercise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 or dismiss such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and determine the terms and conditions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employment of such officers and employees.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officers and employees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remunerated in such manner and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rates, in consultation with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and shall be subject to such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>service as may be determined by the Commission, in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this Act and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thereunder.</w:t>
      </w:r>
    </w:p>
    <w:p>
      <w:pPr>
        <w:autoSpaceDN w:val="0"/>
        <w:autoSpaceDE w:val="0"/>
        <w:widowControl/>
        <w:spacing w:line="259" w:lineRule="auto" w:before="290" w:after="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establish and regulate provident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schemes for the benefit of the officers and servants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who may be recruited outside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service and may make contributions to any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scheme.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7" w:lineRule="auto" w:before="106" w:after="2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is temporarily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under subsection (1)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subject to the same disciplinary control as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staff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Commission and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Minister, any officer in the public service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with the consent of that officer and of the Public 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be temporarily assigned to the staff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for such period as may be determined by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with like consent, or be permanently appointed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such staff.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the staff of the Commission,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to, and in relation to such officer.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to the staff of the Commission,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(3) of section 14 of the National Transport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apply,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Commission, any officer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employee of any higher educational institution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officers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higher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the Universities Act, No. 16 of 1978 may,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consent of that officer or the employee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executive officer of that higher educational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institution, be temporarily appointed to the staff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Such appointment shall be for a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Commission or with like consent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permanently appointed to such staff, on such terms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conditions, including those relating to pension or provident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rights, as may be agreed upon by the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62" w:lineRule="auto" w:before="1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temporarily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under subsection (1)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subject to the same disciplinary control as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staff of the Commission.</w:t>
      </w:r>
    </w:p>
    <w:p>
      <w:pPr>
        <w:autoSpaceDN w:val="0"/>
        <w:tabs>
          <w:tab w:pos="3742" w:val="left"/>
        </w:tabs>
        <w:autoSpaceDE w:val="0"/>
        <w:widowControl/>
        <w:spacing w:line="242" w:lineRule="auto" w:before="290" w:after="0"/>
        <w:ind w:left="14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2" w:after="0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2018" w:val="left"/>
          <w:tab w:pos="2424" w:val="left"/>
          <w:tab w:pos="6622" w:val="left"/>
        </w:tabs>
        <w:autoSpaceDE w:val="0"/>
        <w:widowControl/>
        <w:spacing w:line="276" w:lineRule="auto" w:before="292" w:after="234"/>
        <w:ind w:left="194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initial capital of the Commission 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Capital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such sum as may be determined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by resolution;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increased by such amounts as may be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an Appropriation Act or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resolution of Parliament.</w:t>
      </w:r>
    </w:p>
    <w:p>
      <w:pPr>
        <w:autoSpaceDN w:val="0"/>
        <w:tabs>
          <w:tab w:pos="6622" w:val="left"/>
        </w:tabs>
        <w:autoSpaceDE w:val="0"/>
        <w:widowControl/>
        <w:spacing w:line="247" w:lineRule="auto" w:before="292" w:after="6"/>
        <w:ind w:left="194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Commission shall have its own Fund.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Fund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5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Fund of the Commission shall comprise of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from time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time by Parliament;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interest on investments,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gifts or grants from any 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whatsoever, whether within or outside Sri Lanka:</w:t>
      </w:r>
    </w:p>
    <w:p>
      <w:pPr>
        <w:autoSpaceDN w:val="0"/>
        <w:autoSpaceDE w:val="0"/>
        <w:widowControl/>
        <w:spacing w:line="262" w:lineRule="auto" w:before="294" w:after="16"/>
        <w:ind w:left="2424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prior written approval of the Department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External Resources of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Finance, in respect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grants, gifts or donations made and loans,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donations, gifts, bequests, and grants received from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57" w:lineRule="auto" w:before="108" w:after="22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source within Sri Lanka shall be credited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and shall thereafter,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Parliament, be credited to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received as income from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investments made by the Commission;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8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such money levied as fees and contributions.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282" w:after="21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defray</w:t>
            </w:r>
          </w:p>
        </w:tc>
      </w:tr>
    </w:tbl>
    <w:p>
      <w:pPr>
        <w:autoSpaceDN w:val="0"/>
        <w:autoSpaceDE w:val="0"/>
        <w:widowControl/>
        <w:spacing w:line="257" w:lineRule="auto" w:before="6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Commission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are required to be paid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 by or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moneys belonging to the Commission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invested by the Commission in such manner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appropriate subject to such directions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5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by the Minister.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Commission shall be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Commission shall cause proper books of accounts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kept of the income and expenditure, assets and liabilities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to, and in relation to the audit of the accounts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8" w:lineRule="auto" w:before="37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84" w:after="224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from time to time give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special directions in writing to the Commission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to the exercise, performance and discharge of the powers,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of the Commission and it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duty of the Commission to comply with such directions.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284" w:after="226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from time to time, Order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of the Commission or the Secretariate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investigated and reported upon by such person or persons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specify, and upon such order being made,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Secretariate shall afford all such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furnish all such information to such person or persons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necessary to give effect to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shall, within a period of six months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the closure of each financial year, submit a report giving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placed before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full account of its activities during that year to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cause such report to be placed before Parliament,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prior to the end of the year next following the year to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relates.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members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members of the Commission,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of the Commission shall be deemed to be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within the meaning and for the purpose of the Penal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deemed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(Chapter 19).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public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Chapter I of Part III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Heading “Offences relating to Bribery or Corruption”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Anti-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2023,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No.9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applicable to or in relation to,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 to be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38" w:lineRule="auto" w:before="106" w:after="56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Commission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 or prosecution brought by or against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under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any court shall be paid out of the Fund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or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and any costs paid to, or recovered by,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such suit or prosecution shall be credited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Fund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22" w:after="22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expenses incurred by any person in any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against him before any court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which is done by him under this Act, or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of the Commission shall, if the court holds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act was done in good faith, be paid out of the Fund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unless such expense is recovered by him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make rules in respect of –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employment and dismissal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 and their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meetings, annual general meeting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extraordinary meetings of the Commission;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affairs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Commission;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 respect of which, rules are required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under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Minister.</w:t>
      </w:r>
    </w:p>
    <w:p>
      <w:pPr>
        <w:autoSpaceDN w:val="0"/>
        <w:autoSpaceDE w:val="0"/>
        <w:widowControl/>
        <w:spacing w:line="259" w:lineRule="auto" w:before="27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approved by the Minister shall,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its notice.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02" w:val="left"/>
        </w:tabs>
        <w:autoSpaceDE w:val="0"/>
        <w:widowControl/>
        <w:spacing w:line="29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National Commission</w:t>
      </w:r>
    </w:p>
    <w:p>
      <w:pPr>
        <w:autoSpaceDN w:val="0"/>
        <w:autoSpaceDE w:val="0"/>
        <w:widowControl/>
        <w:spacing w:line="238" w:lineRule="auto" w:before="106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1946" w:val="left"/>
          <w:tab w:pos="6642" w:val="left"/>
        </w:tabs>
        <w:autoSpaceDE w:val="0"/>
        <w:widowControl/>
        <w:spacing w:line="259" w:lineRule="auto" w:before="112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required by this Act to be prescribed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such regulation,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so approved shall be deemed to be rescinded as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under subsection (3),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6642" w:val="left"/>
        </w:tabs>
        <w:autoSpaceDE w:val="0"/>
        <w:widowControl/>
        <w:spacing w:line="242" w:lineRule="auto" w:before="294" w:after="0"/>
        <w:ind w:left="19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36.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Act, unless the context otherwise required: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4" w:lineRule="auto" w:before="28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“expert” means a professional with specialized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competence in any one of the areas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UNESCO programmes;</w:t>
      </w:r>
    </w:p>
    <w:p>
      <w:pPr>
        <w:autoSpaceDN w:val="0"/>
        <w:autoSpaceDE w:val="0"/>
        <w:widowControl/>
        <w:spacing w:line="259" w:lineRule="auto" w:before="286" w:after="0"/>
        <w:ind w:left="2902" w:right="2516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Education under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302" w:val="left"/>
          <w:tab w:pos="2902" w:val="left"/>
        </w:tabs>
        <w:autoSpaceDE w:val="0"/>
        <w:widowControl/>
        <w:spacing w:line="257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“UNESCO” means United Nations Educational,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Scientific and Cultural Organization;</w:t>
      </w:r>
    </w:p>
    <w:p>
      <w:pPr>
        <w:autoSpaceDN w:val="0"/>
        <w:autoSpaceDE w:val="0"/>
        <w:widowControl/>
        <w:spacing w:line="259" w:lineRule="auto" w:before="288" w:after="0"/>
        <w:ind w:left="2902" w:right="2516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system “means UNESCO headquarters,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offices, field offices,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Offices, liaison offices, Commissions,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98" w:lineRule="auto" w:before="0" w:after="0"/>
        <w:ind w:left="29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8" w:lineRule="auto" w:before="106" w:after="0"/>
        <w:ind w:left="0" w:right="41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tabs>
          <w:tab w:pos="2998" w:val="left"/>
        </w:tabs>
        <w:autoSpaceDE w:val="0"/>
        <w:widowControl/>
        <w:spacing w:line="266" w:lineRule="auto" w:before="11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Networks, Category 01 and Category 02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centers, UNESCO Heritage sites, Biosphere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reserves, UNESCO Cities and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Clubs, Associations and Chairs and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additions to the system by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resolutions;</w:t>
      </w:r>
    </w:p>
    <w:p>
      <w:pPr>
        <w:autoSpaceDN w:val="0"/>
        <w:autoSpaceDE w:val="0"/>
        <w:widowControl/>
        <w:spacing w:line="259" w:lineRule="auto" w:before="292" w:after="0"/>
        <w:ind w:left="2998" w:right="242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activities” means programmes, projects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activities carried out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system;</w:t>
      </w:r>
    </w:p>
    <w:p>
      <w:pPr>
        <w:autoSpaceDN w:val="0"/>
        <w:tabs>
          <w:tab w:pos="1452" w:val="left"/>
          <w:tab w:pos="2398" w:val="left"/>
          <w:tab w:pos="2998" w:val="left"/>
        </w:tabs>
        <w:autoSpaceDE w:val="0"/>
        <w:widowControl/>
        <w:spacing w:line="269" w:lineRule="auto" w:before="28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“Stakeholders of the Commission” means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institutions, semi-governmental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institutions, Non-governmental Institutions,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Statutory bodies, Private Institutions,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Associations, international organizations,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Individuals and Intellectuals engaged in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UNESCO areas of Competencies in Sri Lanka;</w:t>
      </w:r>
    </w:p>
    <w:p>
      <w:pPr>
        <w:autoSpaceDN w:val="0"/>
        <w:tabs>
          <w:tab w:pos="2398" w:val="left"/>
          <w:tab w:pos="299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areas of competencies”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Educational, Scientific and Cultural, Social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Human Sciences and Communication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Information areas;</w:t>
      </w:r>
    </w:p>
    <w:p>
      <w:pPr>
        <w:autoSpaceDN w:val="0"/>
        <w:autoSpaceDE w:val="0"/>
        <w:widowControl/>
        <w:spacing w:line="259" w:lineRule="auto" w:before="288" w:after="16"/>
        <w:ind w:left="2998" w:right="242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Programmes” means the UNESCO areas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competence and includes Education,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Natural Sciences, Social and Human Sciences,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Culture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toprevail in</w:t>
            </w:r>
          </w:p>
        </w:tc>
      </w:tr>
      <w:tr>
        <w:trPr>
          <w:trHeight w:hRule="exact" w:val="19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9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5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National Commission</w:t>
            </w:r>
          </w:p>
        </w:tc>
      </w:tr>
    </w:tbl>
    <w:p>
      <w:pPr>
        <w:autoSpaceDN w:val="0"/>
        <w:autoSpaceDE w:val="0"/>
        <w:widowControl/>
        <w:spacing w:line="238" w:lineRule="auto" w:before="54" w:after="0"/>
        <w:ind w:left="0" w:right="42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UNESCO</w:t>
      </w:r>
    </w:p>
    <w:p>
      <w:pPr>
        <w:autoSpaceDN w:val="0"/>
        <w:autoSpaceDE w:val="0"/>
        <w:widowControl/>
        <w:spacing w:line="235" w:lineRule="auto" w:before="8782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