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06" w:after="0"/>
        <w:ind w:left="0" w:right="30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February 09, 2024</w:t>
      </w:r>
    </w:p>
    <w:p>
      <w:pPr>
        <w:autoSpaceDN w:val="0"/>
        <w:autoSpaceDE w:val="0"/>
        <w:widowControl/>
        <w:spacing w:line="238" w:lineRule="auto" w:before="216" w:after="0"/>
        <w:ind w:left="0" w:right="36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6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13.02.2024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0" w:after="0"/>
        <w:ind w:left="0" w:right="38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80" w:after="0"/>
        <w:ind w:left="0" w:right="254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>PENAL  CODE  (AMENDMENT)</w:t>
      </w:r>
    </w:p>
    <w:p>
      <w:pPr>
        <w:autoSpaceDN w:val="0"/>
        <w:autoSpaceDE w:val="0"/>
        <w:widowControl/>
        <w:spacing w:line="235" w:lineRule="auto" w:before="502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40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Penal Code (Chapter 19)</w:t>
      </w:r>
    </w:p>
    <w:p>
      <w:pPr>
        <w:autoSpaceDN w:val="0"/>
        <w:autoSpaceDE w:val="0"/>
        <w:widowControl/>
        <w:spacing w:line="245" w:lineRule="auto" w:before="344" w:after="0"/>
        <w:ind w:left="1584" w:right="144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Minister of  Justice, Prison Affairs and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Constitutional Reforms</w:t>
      </w:r>
    </w:p>
    <w:p>
      <w:pPr>
        <w:autoSpaceDN w:val="0"/>
        <w:autoSpaceDE w:val="0"/>
        <w:widowControl/>
        <w:spacing w:line="238" w:lineRule="auto" w:before="36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18" w:val="left"/>
        </w:tabs>
        <w:autoSpaceDE w:val="0"/>
        <w:widowControl/>
        <w:spacing w:line="238" w:lineRule="auto" w:before="17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9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260" w:after="0"/>
        <w:ind w:left="15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4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84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28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332" w:after="0"/>
        <w:ind w:left="1350" w:right="1428" w:firstLine="26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363 of the Penal Code (Chapter 19) (hereinafter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referred to as the “principal enactment”) and the legal effect of the section as amended 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make provisions to extend the application of the provisions of the section to male </w:t>
      </w:r>
      <w:r>
        <w:rPr>
          <w:rFonts w:ascii="Times" w:hAnsi="Times" w:eastAsia="Times"/>
          <w:b w:val="0"/>
          <w:i w:val="0"/>
          <w:color w:val="000000"/>
          <w:sz w:val="16"/>
        </w:rPr>
        <w:t>victims as well as to female victims.</w:t>
      </w:r>
    </w:p>
    <w:p>
      <w:pPr>
        <w:autoSpaceDN w:val="0"/>
        <w:tabs>
          <w:tab w:pos="1610" w:val="left"/>
        </w:tabs>
        <w:autoSpaceDE w:val="0"/>
        <w:widowControl/>
        <w:spacing w:line="245" w:lineRule="auto" w:before="202" w:after="0"/>
        <w:ind w:left="135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replaces section 364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>effect of the amendment is to make provisions to -</w:t>
      </w:r>
    </w:p>
    <w:p>
      <w:pPr>
        <w:autoSpaceDN w:val="0"/>
        <w:tabs>
          <w:tab w:pos="2070" w:val="left"/>
        </w:tabs>
        <w:autoSpaceDE w:val="0"/>
        <w:widowControl/>
        <w:spacing w:line="247" w:lineRule="auto" w:before="202" w:after="0"/>
        <w:ind w:left="168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enable the court to impose a suspended sentence in lieu of the mandatory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minimum sentence where there was an intimate relationship between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offender under twenty two years and the victim of or above fourteen years 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sixteen years and where the sexual penetration had been with the consent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 the victim; and</w:t>
      </w:r>
    </w:p>
    <w:p>
      <w:pPr>
        <w:autoSpaceDN w:val="0"/>
        <w:tabs>
          <w:tab w:pos="2070" w:val="left"/>
        </w:tabs>
        <w:autoSpaceDE w:val="0"/>
        <w:widowControl/>
        <w:spacing w:line="247" w:lineRule="auto" w:before="202" w:after="0"/>
        <w:ind w:left="168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enable the court to impose a lesser mandatory minimum sentence where 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an intimate relationship between the offender under twenty two years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victim of or above fourteen years but under sixteen years and where there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evidence to prove that the sexual penetration had been with the consent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victim.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4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 10/2021</w:t>
      </w:r>
    </w:p>
    <w:p>
      <w:pPr>
        <w:autoSpaceDN w:val="0"/>
        <w:autoSpaceDE w:val="0"/>
        <w:widowControl/>
        <w:spacing w:line="238" w:lineRule="auto" w:before="276" w:after="0"/>
        <w:ind w:left="0" w:right="29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 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19 )</w:t>
      </w:r>
    </w:p>
    <w:p>
      <w:pPr>
        <w:autoSpaceDN w:val="0"/>
        <w:autoSpaceDE w:val="0"/>
        <w:widowControl/>
        <w:spacing w:line="254" w:lineRule="auto" w:before="290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it enacted by the</w:t>
      </w:r>
      <w:r>
        <w:rPr>
          <w:rFonts w:ascii="Times" w:hAnsi="Times" w:eastAsia="Times"/>
          <w:b w:val="0"/>
          <w:i w:val="0"/>
          <w:color w:val="221F1F"/>
          <w:sz w:val="20"/>
        </w:rPr>
        <w:t>Parliament of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54" w:lineRule="auto" w:before="292" w:after="214"/>
        <w:ind w:left="1796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1.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may be cited as the Penal Code (Amendment)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 title </w:t>
      </w:r>
      <w:r>
        <w:rPr>
          <w:rFonts w:ascii="Times" w:hAnsi="Times" w:eastAsia="Times"/>
          <w:b w:val="0"/>
          <w:i w:val="0"/>
          <w:color w:val="221F1F"/>
          <w:sz w:val="20"/>
        </w:rPr>
        <w:t>Act, No 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3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363 of the Penal Code (Chapter 19) (hereinafter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“principal enactment”) is hereby amended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363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19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renumbering of that section as subsection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234"/>
        <w:ind w:left="0" w:right="50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(1) of that section;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3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renumbered subsection (1) of that section-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“A man is</w:t>
            </w:r>
          </w:p>
        </w:tc>
      </w:tr>
    </w:tbl>
    <w:p>
      <w:pPr>
        <w:autoSpaceDN w:val="0"/>
        <w:tabs>
          <w:tab w:pos="2996" w:val="left"/>
        </w:tabs>
        <w:autoSpaceDE w:val="0"/>
        <w:widowControl/>
        <w:spacing w:line="266" w:lineRule="auto" w:before="18" w:after="23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said to commit “rape” who has sexual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intercourse with a woman”, of the words “A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(in this section referred to as the </w:t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“offender”) is said to commit “rape” who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act of sexual penetration,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another person (in this section referred to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“victim”)”;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“without her consent even where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0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woman is his wife”, of the words “without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consent of the victim even where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victim is the wife of the offender”;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“with her consent, while she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Penal Code (Amendment)</w:t>
      </w:r>
    </w:p>
    <w:p>
      <w:pPr>
        <w:autoSpaceDN w:val="0"/>
        <w:tabs>
          <w:tab w:pos="2922" w:val="left"/>
        </w:tabs>
        <w:autoSpaceDE w:val="0"/>
        <w:widowControl/>
        <w:spacing w:line="281" w:lineRule="auto" w:before="514" w:after="248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was in lawful or unlawful detention or when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 consent has been obtained, by use of force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intimidation, or by threat of detention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putting her”, of the words “with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consent of the victim, while the victim was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lawful or unlawful detention or when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consent has been obtained, by use of force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intimidation, or by threat of detention or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putting the victim”;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</w:t>
            </w:r>
          </w:p>
        </w:tc>
      </w:tr>
    </w:tbl>
    <w:p>
      <w:pPr>
        <w:autoSpaceDN w:val="0"/>
        <w:tabs>
          <w:tab w:pos="1372" w:val="left"/>
          <w:tab w:pos="2922" w:val="left"/>
        </w:tabs>
        <w:autoSpaceDE w:val="0"/>
        <w:widowControl/>
        <w:spacing w:line="281" w:lineRule="auto" w:before="24" w:after="0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“with her consent when 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consent has been obtained at a time when she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was of unsound mind or was in a state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intoxication induced by alcohol or drugs,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administered to her by the man”, of the words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“with the consent of the victim, when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victim’s consent has been obtained at a time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when the victim was of unsound mind or was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 state of intoxication induced by alcohol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drugs administered to the victim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offender”;</w:t>
      </w:r>
    </w:p>
    <w:p>
      <w:pPr>
        <w:autoSpaceDN w:val="0"/>
        <w:tabs>
          <w:tab w:pos="2534" w:val="left"/>
          <w:tab w:pos="2922" w:val="left"/>
        </w:tabs>
        <w:autoSpaceDE w:val="0"/>
        <w:widowControl/>
        <w:spacing w:line="276" w:lineRule="auto" w:before="320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“with her consent when the man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knows”, of the words “in the case of a female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victim, with her consent when the offender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knows”; and</w:t>
      </w:r>
    </w:p>
    <w:p>
      <w:pPr>
        <w:autoSpaceDN w:val="0"/>
        <w:tabs>
          <w:tab w:pos="2922" w:val="left"/>
        </w:tabs>
        <w:autoSpaceDE w:val="0"/>
        <w:widowControl/>
        <w:spacing w:line="262" w:lineRule="auto" w:before="320" w:after="262"/>
        <w:ind w:left="25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or without consent when the victim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under sixteen years of age.”;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1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Penal Code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516" w:val="left"/>
        </w:tabs>
        <w:autoSpaceDE w:val="0"/>
        <w:widowControl/>
        <w:spacing w:line="259" w:lineRule="auto" w:before="53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repeal of the explanation to that re-numbered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(1);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69" w:lineRule="auto" w:before="318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addition immediately after the re-numbered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of that section,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subsection: -</w:t>
      </w:r>
    </w:p>
    <w:p>
      <w:pPr>
        <w:autoSpaceDN w:val="0"/>
        <w:tabs>
          <w:tab w:pos="2456" w:val="left"/>
          <w:tab w:pos="2696" w:val="left"/>
        </w:tabs>
        <w:autoSpaceDE w:val="0"/>
        <w:widowControl/>
        <w:spacing w:line="274" w:lineRule="auto" w:before="316" w:after="0"/>
        <w:ind w:left="145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“(2) In this section “sexual penetration” means,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act which causes penetration to any extent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whatsoever by the genital organ of the offender into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beyond the genital organ, anus or mouth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victim.</w:t>
      </w:r>
    </w:p>
    <w:p>
      <w:pPr>
        <w:autoSpaceDN w:val="0"/>
        <w:autoSpaceDE w:val="0"/>
        <w:widowControl/>
        <w:spacing w:line="235" w:lineRule="auto" w:before="316" w:after="0"/>
        <w:ind w:left="0" w:right="552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Explanation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-</w:t>
      </w:r>
    </w:p>
    <w:p>
      <w:pPr>
        <w:autoSpaceDN w:val="0"/>
        <w:autoSpaceDE w:val="0"/>
        <w:widowControl/>
        <w:spacing w:line="238" w:lineRule="auto" w:before="35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Evidence of resistance such as physical</w:t>
      </w:r>
    </w:p>
    <w:p>
      <w:pPr>
        <w:autoSpaceDN w:val="0"/>
        <w:autoSpaceDE w:val="0"/>
        <w:widowControl/>
        <w:spacing w:line="238" w:lineRule="auto" w:before="9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injuries to the body is not essential to prove</w:t>
      </w:r>
    </w:p>
    <w:p>
      <w:pPr>
        <w:autoSpaceDN w:val="0"/>
        <w:autoSpaceDE w:val="0"/>
        <w:widowControl/>
        <w:spacing w:line="235" w:lineRule="auto" w:before="90" w:after="2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that sexual penetration took place without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2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.”.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364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364 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6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3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“Punishment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3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364. (1) Any person (in this section referred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rape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 the “offender”) who commits rape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another person (in this section referred to as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878" w:val="left"/>
        </w:tabs>
        <w:autoSpaceDE w:val="0"/>
        <w:widowControl/>
        <w:spacing w:line="281" w:lineRule="auto" w:before="22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“victim”) shall, except, in the cases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for in subsections (2) and (3),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punished with rigorous imprisonment for a term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less than seven years and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twenty years and with fine, and shall in addition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ordered to pay compensation of an amount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court, to the victim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injuries caused to such person.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Penal Code (Amendment)</w:t>
      </w:r>
    </w:p>
    <w:p>
      <w:pPr>
        <w:autoSpaceDN w:val="0"/>
        <w:autoSpaceDE w:val="0"/>
        <w:widowControl/>
        <w:spacing w:line="238" w:lineRule="auto" w:before="526" w:after="0"/>
        <w:ind w:left="0" w:right="41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An offender who -</w:t>
      </w:r>
    </w:p>
    <w:p>
      <w:pPr>
        <w:autoSpaceDN w:val="0"/>
        <w:tabs>
          <w:tab w:pos="3938" w:val="left"/>
          <w:tab w:pos="4342" w:val="left"/>
        </w:tabs>
        <w:autoSpaceDE w:val="0"/>
        <w:widowControl/>
        <w:spacing w:line="269" w:lineRule="auto" w:before="292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a public officer or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in a position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authority, takes advantage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official position,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commits rape on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victim in the     offender’s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official     custody    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wrongfully restrains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rape on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victim;</w:t>
      </w:r>
    </w:p>
    <w:p>
      <w:pPr>
        <w:autoSpaceDN w:val="0"/>
        <w:tabs>
          <w:tab w:pos="3938" w:val="left"/>
          <w:tab w:pos="4342" w:val="left"/>
        </w:tabs>
        <w:autoSpaceDE w:val="0"/>
        <w:widowControl/>
        <w:spacing w:line="266" w:lineRule="auto" w:before="294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on the management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on the staff of a remand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home or other place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custody, established by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law, or of a women’s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children’s institution,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takes advantage   of  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offender’s   position   and</w:t>
      </w:r>
    </w:p>
    <w:p>
      <w:pPr>
        <w:autoSpaceDN w:val="0"/>
        <w:tabs>
          <w:tab w:pos="4342" w:val="left"/>
        </w:tabs>
        <w:autoSpaceDE w:val="0"/>
        <w:widowControl/>
        <w:spacing w:line="264" w:lineRule="auto" w:before="32" w:after="234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rape on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inmate of such remand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home, place of custody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8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1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being on the management</w:t>
            </w:r>
          </w:p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staff of a hospital, takes</w:t>
            </w:r>
          </w:p>
        </w:tc>
      </w:tr>
      <w:tr>
        <w:trPr>
          <w:trHeight w:hRule="exact" w:val="27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advantage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0"/>
        <w:ind w:left="43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offender’s position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rape on a victim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that hospital;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 rape on a female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4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victim knowing her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pregnant;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1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Penal Code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4436" w:val="left"/>
        </w:tabs>
        <w:autoSpaceDE w:val="0"/>
        <w:widowControl/>
        <w:spacing w:line="254" w:lineRule="auto" w:before="546" w:after="216"/>
        <w:ind w:left="40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rape on a victim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eighteen years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1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 rape on a victim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is mentally or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7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physically disabled; or</w:t>
      </w:r>
    </w:p>
    <w:p>
      <w:pPr>
        <w:autoSpaceDN w:val="0"/>
        <w:tabs>
          <w:tab w:pos="4436" w:val="left"/>
        </w:tabs>
        <w:autoSpaceDE w:val="0"/>
        <w:widowControl/>
        <w:spacing w:line="238" w:lineRule="auto" w:before="276" w:after="0"/>
        <w:ind w:left="40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commits gang rape,</w:t>
      </w:r>
    </w:p>
    <w:p>
      <w:pPr>
        <w:autoSpaceDN w:val="0"/>
        <w:tabs>
          <w:tab w:pos="2876" w:val="left"/>
        </w:tabs>
        <w:autoSpaceDE w:val="0"/>
        <w:widowControl/>
        <w:spacing w:line="259" w:lineRule="auto" w:before="276" w:after="216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punished with rigorous imprisonment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 term not less than ten years and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twenty years and with fine and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addition be ordered to pay compensation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amount determined by court to the victim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injuries caused to such victim: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616" w:right="1152" w:firstLine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however, where an offence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363 is committed in respect of a victim</w:t>
            </w:r>
          </w:p>
        </w:tc>
      </w:tr>
    </w:tbl>
    <w:p>
      <w:pPr>
        <w:autoSpaceDN w:val="0"/>
        <w:autoSpaceDE w:val="0"/>
        <w:widowControl/>
        <w:spacing w:line="257" w:lineRule="auto" w:before="12" w:after="216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or above fourteen years but under sixteen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 of age, by an offender who is under twenty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years of age at the time of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offence,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it appears to the</w:t>
            </w:r>
          </w:p>
        </w:tc>
      </w:tr>
    </w:tbl>
    <w:p>
      <w:pPr>
        <w:autoSpaceDN w:val="0"/>
        <w:tabs>
          <w:tab w:pos="4436" w:val="left"/>
        </w:tabs>
        <w:autoSpaceDE w:val="0"/>
        <w:widowControl/>
        <w:spacing w:line="259" w:lineRule="auto" w:before="12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satisfaction of the court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sexual penetration had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with the consent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victim, the court upon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may impose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sentence of imprisonment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 term less than ten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years:</w:t>
      </w:r>
    </w:p>
    <w:p>
      <w:pPr>
        <w:autoSpaceDN w:val="0"/>
        <w:tabs>
          <w:tab w:pos="4436" w:val="left"/>
          <w:tab w:pos="4782" w:val="left"/>
        </w:tabs>
        <w:autoSpaceDE w:val="0"/>
        <w:widowControl/>
        <w:spacing w:line="257" w:lineRule="auto" w:before="276" w:after="0"/>
        <w:ind w:left="145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may, in appropriate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circumstances suspend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Penal Code (Amendment)</w:t>
      </w:r>
    </w:p>
    <w:p>
      <w:pPr>
        <w:autoSpaceDN w:val="0"/>
        <w:autoSpaceDE w:val="0"/>
        <w:widowControl/>
        <w:spacing w:line="235" w:lineRule="auto" w:before="518" w:after="8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term of imprisonment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6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imposed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432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paragraph, subject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section 303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4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440" w:right="1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Code of Criminal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 Act, No. 15 of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39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1979; or</w:t>
      </w:r>
    </w:p>
    <w:p>
      <w:pPr>
        <w:autoSpaceDN w:val="0"/>
        <w:tabs>
          <w:tab w:pos="1374" w:val="left"/>
          <w:tab w:pos="1384" w:val="left"/>
          <w:tab w:pos="3938" w:val="left"/>
          <w:tab w:pos="4342" w:val="left"/>
        </w:tabs>
        <w:autoSpaceDE w:val="0"/>
        <w:widowControl/>
        <w:spacing w:line="254" w:lineRule="auto" w:before="266" w:after="0"/>
        <w:ind w:left="134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there is no sufficient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to prove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satisfaction of the court that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sexual penetration had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with the consent of the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victim, the court shall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 a sentence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for a term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less than ten years and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twenty years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 fine and shall in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 order the offender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pay compensation of an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determined by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to the victim for the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injuries caused to such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victim.</w:t>
      </w:r>
    </w:p>
    <w:p>
      <w:pPr>
        <w:autoSpaceDN w:val="0"/>
        <w:tabs>
          <w:tab w:pos="2782" w:val="left"/>
        </w:tabs>
        <w:autoSpaceDE w:val="0"/>
        <w:widowControl/>
        <w:spacing w:line="238" w:lineRule="auto" w:before="214" w:after="0"/>
        <w:ind w:left="13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Explanation 1</w:t>
      </w:r>
    </w:p>
    <w:p>
      <w:pPr>
        <w:autoSpaceDN w:val="0"/>
        <w:autoSpaceDE w:val="0"/>
        <w:widowControl/>
        <w:spacing w:line="262" w:lineRule="auto" w:before="228" w:after="16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Where the offence of rape is committed by one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more persons in a group of persons, each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person in such group committing, or abetting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7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8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commission of such offence is deemed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have committed gang rape.</w:t>
            </w:r>
          </w:p>
        </w:tc>
      </w:tr>
    </w:tbl>
    <w:p>
      <w:pPr>
        <w:autoSpaceDN w:val="0"/>
        <w:autoSpaceDE w:val="0"/>
        <w:widowControl/>
        <w:spacing w:line="235" w:lineRule="auto" w:before="184" w:after="0"/>
        <w:ind w:left="0" w:right="523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Explanation 2</w:t>
      </w:r>
    </w:p>
    <w:p>
      <w:pPr>
        <w:autoSpaceDN w:val="0"/>
        <w:autoSpaceDE w:val="0"/>
        <w:widowControl/>
        <w:spacing w:line="264" w:lineRule="auto" w:before="242" w:after="0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“women’s or children’s institution”, means an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institution for the reception and care of women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or children, howsoever described.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1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Penal Code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38" w:lineRule="auto" w:before="542" w:after="0"/>
        <w:ind w:left="0" w:right="515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Explanation 3</w:t>
      </w:r>
    </w:p>
    <w:p>
      <w:pPr>
        <w:autoSpaceDN w:val="0"/>
        <w:autoSpaceDE w:val="0"/>
        <w:widowControl/>
        <w:spacing w:line="238" w:lineRule="auto" w:before="33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“hospital”   means   the   precincts   of   the</w:t>
      </w:r>
    </w:p>
    <w:p>
      <w:pPr>
        <w:autoSpaceDN w:val="0"/>
        <w:autoSpaceDE w:val="0"/>
        <w:widowControl/>
        <w:spacing w:line="238" w:lineRule="auto" w:before="7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hospital   and includes the precincts of any</w:t>
      </w:r>
    </w:p>
    <w:p>
      <w:pPr>
        <w:autoSpaceDN w:val="0"/>
        <w:autoSpaceDE w:val="0"/>
        <w:widowControl/>
        <w:spacing w:line="235" w:lineRule="auto" w:before="8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institution for the reception    and    treatment    of</w:t>
      </w:r>
    </w:p>
    <w:p>
      <w:pPr>
        <w:autoSpaceDN w:val="0"/>
        <w:tabs>
          <w:tab w:pos="3238" w:val="left"/>
        </w:tabs>
        <w:autoSpaceDE w:val="0"/>
        <w:widowControl/>
        <w:spacing w:line="238" w:lineRule="auto" w:before="5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persons    during convalescence   or   of   persons</w:t>
      </w:r>
    </w:p>
    <w:p>
      <w:pPr>
        <w:autoSpaceDN w:val="0"/>
        <w:autoSpaceDE w:val="0"/>
        <w:widowControl/>
        <w:spacing w:line="238" w:lineRule="auto" w:before="52" w:after="0"/>
        <w:ind w:left="0" w:right="25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requiring   medical attention or rehabilitation.</w:t>
      </w:r>
    </w:p>
    <w:p>
      <w:pPr>
        <w:autoSpaceDN w:val="0"/>
        <w:autoSpaceDE w:val="0"/>
        <w:widowControl/>
        <w:spacing w:line="238" w:lineRule="auto" w:before="338" w:after="0"/>
        <w:ind w:left="0" w:right="513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Explanation 4</w:t>
      </w:r>
    </w:p>
    <w:p>
      <w:pPr>
        <w:autoSpaceDN w:val="0"/>
        <w:autoSpaceDE w:val="0"/>
        <w:widowControl/>
        <w:spacing w:line="235" w:lineRule="auto" w:before="34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“injuries’ includes psychological or mental</w:t>
      </w:r>
    </w:p>
    <w:p>
      <w:pPr>
        <w:autoSpaceDN w:val="0"/>
        <w:autoSpaceDE w:val="0"/>
        <w:widowControl/>
        <w:spacing w:line="238" w:lineRule="auto" w:before="78" w:after="0"/>
        <w:ind w:left="0" w:right="52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trauma.</w:t>
      </w:r>
    </w:p>
    <w:p>
      <w:pPr>
        <w:autoSpaceDN w:val="0"/>
        <w:tabs>
          <w:tab w:pos="2878" w:val="left"/>
          <w:tab w:pos="3178" w:val="left"/>
        </w:tabs>
        <w:autoSpaceDE w:val="0"/>
        <w:widowControl/>
        <w:spacing w:line="266" w:lineRule="auto" w:before="302" w:after="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offender who commits rape on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victim under sixteen years of age and the victim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stands towards the offender in any of the degrees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relationships enumerated in section 364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on conviction be punished with rigorous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imprisonment, for a term not less than fifteen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 and not exceeding twenty years and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fine.</w:t>
      </w:r>
    </w:p>
    <w:p>
      <w:pPr>
        <w:autoSpaceDN w:val="0"/>
        <w:autoSpaceDE w:val="0"/>
        <w:widowControl/>
        <w:spacing w:line="257" w:lineRule="auto" w:before="290" w:after="16"/>
        <w:ind w:left="2878" w:right="2304" w:firstLine="3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an offender fails to pay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compensation ordered to pay under subsection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6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or subsection (2), such offender shall,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addition to the imprisonment imposed on such</w:t>
            </w:r>
          </w:p>
        </w:tc>
      </w:tr>
    </w:tbl>
    <w:p>
      <w:pPr>
        <w:autoSpaceDN w:val="0"/>
        <w:autoSpaceDE w:val="0"/>
        <w:widowControl/>
        <w:spacing w:line="259" w:lineRule="auto" w:before="16" w:after="18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offender under subsection (1) or subsection (2)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punished with a further term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imprisonment of either description for a term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extend up to two years.”.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6"/>
        <w:ind w:left="0" w:right="0"/>
      </w:pPr>
    </w:p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38.0" w:type="dxa"/>
      </w:tblPr>
      <w:tblGrid>
        <w:gridCol w:w="4510"/>
        <w:gridCol w:w="4510"/>
      </w:tblGrid>
      <w:tr>
        <w:trPr>
          <w:trHeight w:hRule="exact" w:val="252"/>
        </w:trPr>
        <w:tc>
          <w:tcPr>
            <w:tcW w:type="dxa" w:w="782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268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</w:t>
            </w:r>
          </w:p>
        </w:tc>
      </w:tr>
    </w:tbl>
    <w:p>
      <w:pPr>
        <w:autoSpaceDN w:val="0"/>
        <w:autoSpaceDE w:val="0"/>
        <w:widowControl/>
        <w:spacing w:line="235" w:lineRule="auto" w:before="968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