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87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 16.02.2024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21.02.2024)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BUDDHA SHRAWAKA CARING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40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8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30" w:after="0"/>
        <w:ind w:left="0" w:right="22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Buddha Shrawaka Caring Centre</w:t>
      </w:r>
    </w:p>
    <w:p>
      <w:pPr>
        <w:autoSpaceDN w:val="0"/>
        <w:autoSpaceDE w:val="0"/>
        <w:widowControl/>
        <w:spacing w:line="245" w:lineRule="auto" w:before="41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Madhura Withanage,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45" w:lineRule="auto" w:before="2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Buddha Shrawaka Caring Centre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B3533"/>
          <w:sz w:val="20"/>
        </w:rPr>
        <w:t>A</w:t>
      </w:r>
      <w:r>
        <w:rPr>
          <w:rFonts w:ascii="Times" w:hAnsi="Times" w:eastAsia="Times"/>
          <w:b w:val="0"/>
          <w:i w:val="0"/>
          <w:color w:val="2B3533"/>
          <w:sz w:val="14"/>
        </w:rPr>
        <w:t>N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B3533"/>
          <w:sz w:val="14"/>
        </w:rPr>
        <w:t>CT</w:t>
      </w:r>
      <w:r>
        <w:rPr>
          <w:rFonts w:ascii="Times" w:hAnsi="Times" w:eastAsia="Times"/>
          <w:b w:val="0"/>
          <w:i w:val="0"/>
          <w:color w:val="2B3533"/>
          <w:sz w:val="14"/>
        </w:rPr>
        <w:t>TO</w:t>
      </w:r>
      <w:r>
        <w:rPr>
          <w:rFonts w:ascii="Times" w:hAnsi="Times" w:eastAsia="Times"/>
          <w:b w:val="0"/>
          <w:i w:val="0"/>
          <w:color w:val="2B3533"/>
          <w:sz w:val="14"/>
        </w:rPr>
        <w:t>INCORPORATE</w:t>
      </w:r>
      <w:r>
        <w:rPr>
          <w:rFonts w:ascii="Times" w:hAnsi="Times" w:eastAsia="Times"/>
          <w:b w:val="0"/>
          <w:i w:val="0"/>
          <w:color w:val="2B3533"/>
          <w:sz w:val="14"/>
        </w:rPr>
        <w:t>THE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B3533"/>
          <w:sz w:val="14"/>
        </w:rPr>
        <w:t>UDDHA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B3533"/>
          <w:sz w:val="14"/>
        </w:rPr>
        <w:t xml:space="preserve">HRAWAKA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C</w:t>
      </w:r>
      <w:r>
        <w:rPr>
          <w:rFonts w:ascii="Times" w:hAnsi="Times" w:eastAsia="Times"/>
          <w:b w:val="0"/>
          <w:i w:val="0"/>
          <w:color w:val="2B3533"/>
          <w:sz w:val="14"/>
        </w:rPr>
        <w:t>ARING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B3533"/>
          <w:sz w:val="14"/>
        </w:rPr>
        <w:t>ENTRE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2" w:lineRule="auto" w:before="260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WHEREAS an centre called and known as the “Buddha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Shrawaka Caring Centre”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Sri Lanka for the purpose of effectually carrying out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centre according to the rules agreed to by its members: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 xml:space="preserve">AND WHEREAS the said centre has heretofore successfully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2B3533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60" w:after="20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B3533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This Act may be cited as the Buddha Shrawaka Caring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Centre (Incorporation) Act, No.   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Buddha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Buddha Shrawaka Caring Centre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Shrawaka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the “Centre” ) or shall  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Caring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the Corporation hereby constituted, shall be a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Centre</w:t>
            </w:r>
          </w:p>
        </w:tc>
      </w:tr>
    </w:tbl>
    <w:p>
      <w:pPr>
        <w:autoSpaceDN w:val="0"/>
        <w:tabs>
          <w:tab w:pos="1816" w:val="left"/>
        </w:tabs>
        <w:autoSpaceDE w:val="0"/>
        <w:widowControl/>
        <w:spacing w:line="252" w:lineRule="auto" w:before="10" w:after="20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corporate with perpetual succession, under the name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style of the “Buddha Shrawaka Caring Centre “ (hereinafter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referred to as the “body corporate”) and by that name may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sue and be sued, in all Courts with full power and authority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(2) The body corporate shall be deemed to be a Voluntary 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Social Service Organization within the meaning, and for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B3533"/>
          <w:sz w:val="20"/>
        </w:rPr>
        <w:t>provisions of that Act shall apply to and in relation to the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B3533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  <w:tab w:pos="3466" w:val="left"/>
        </w:tabs>
        <w:autoSpaceDE w:val="0"/>
        <w:widowControl/>
        <w:spacing w:line="245" w:lineRule="auto" w:before="0" w:after="206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The body corporate shall operates exclusively as a 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not-for profit Organrzatron and it is solely for the benefit of 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the society and its members.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30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B3533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 xml:space="preserve"> 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constituted are hereby declared to be:–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B3533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to provide physical and mental well-being for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B3533"/>
          <w:sz w:val="20"/>
        </w:rPr>
        <w:t>monks, nuns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and all other religious leaders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suffering from cancer;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B3533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to maintain a separate place for cancer-stricken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B3533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monks, nuns</w:t>
            </w: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and all other religious leaders;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B3533"/>
                <w:sz w:val="20"/>
              </w:rPr>
              <w:t>to provide accommodation facilities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0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B3533"/>
          <w:sz w:val="20"/>
        </w:rPr>
        <w:t>diagnosed monks,</w:t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nuns and all other religious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 xml:space="preserve">leaders who come to Maharagama Apeksha (Cancer) </w:t>
      </w:r>
      <w:r>
        <w:br/>
      </w:r>
      <w:r>
        <w:rPr>
          <w:rFonts w:ascii="Times" w:hAnsi="Times" w:eastAsia="Times"/>
          <w:b w:val="0"/>
          <w:i w:val="0"/>
          <w:color w:val="2B3533"/>
          <w:sz w:val="20"/>
        </w:rPr>
        <w:t>Hospital for treatments;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to look forward to build a direct connection from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0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C3734"/>
          <w:sz w:val="20"/>
        </w:rPr>
        <w:t>our institution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and conduct all medical tests and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provide necessary equipment to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for cancer-affected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monks, nuns and all other religious leaders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without any delay;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to give due respect to monks, and nuns/who have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been diagnosed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with cancer in the Apeksha </w:t>
      </w:r>
      <w:r>
        <w:br/>
      </w:r>
      <w:r>
        <w:rPr>
          <w:rFonts w:ascii="Times" w:hAnsi="Times" w:eastAsia="Times"/>
          <w:b w:val="0"/>
          <w:i w:val="0"/>
          <w:color w:val="2C3734"/>
          <w:sz w:val="20"/>
        </w:rPr>
        <w:t>Hospital;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f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take care of the cancer-stricken monks, nuns and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all other religious leaders by providing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nutritious meals as it is the absolute duty of our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institution to provide a meal in accordance with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the World Health Organization where it has been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proven that cancer can be alleviated by providing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a proper nutritious diet to a cancer patient;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8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7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g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to raise awareness (among Buddhist community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monk and nuns and all other religious leaders) about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our caring center which is</w:t>
      </w:r>
      <w:r>
        <w:rPr>
          <w:rFonts w:ascii="Times" w:hAnsi="Times" w:eastAsia="Times"/>
          <w:b w:val="0"/>
          <w:i w:val="0"/>
          <w:color w:val="2C3734"/>
          <w:sz w:val="20"/>
        </w:rPr>
        <w:t>Primarily for cancer;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to set an example of caring for the present society;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C3734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and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to facilitate basic screening for early detection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C3734"/>
          <w:sz w:val="20"/>
        </w:rPr>
        <w:t>cancer.</w:t>
      </w:r>
    </w:p>
    <w:p>
      <w:pPr>
        <w:autoSpaceDN w:val="0"/>
        <w:tabs>
          <w:tab w:pos="1798" w:val="left"/>
          <w:tab w:pos="2218" w:val="left"/>
        </w:tabs>
        <w:autoSpaceDE w:val="0"/>
        <w:widowControl/>
        <w:spacing w:line="271" w:lineRule="auto" w:before="308" w:after="248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subsection (1)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implementation shall be carried out without any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C3734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 xml:space="preserve"> The objects of the Body corporate shall be carried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out in such manner so as not to create any conflict between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the work 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simultaneously by any Ministry or Department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Government or any Provincial Council’.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82"/>
        <w:ind w:left="662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C3734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 xml:space="preserve"> (1) Subject to the provisions of this Act the Body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corporate shall be carried out by a Board of Management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C3734"/>
                <w:sz w:val="20"/>
              </w:rPr>
              <w:t>(hereinafter referred to as “the Board”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9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C3734"/>
          <w:sz w:val="20"/>
        </w:rPr>
        <w:t>made under section 8.</w:t>
      </w:r>
    </w:p>
    <w:p>
      <w:pPr>
        <w:autoSpaceDN w:val="0"/>
        <w:tabs>
          <w:tab w:pos="1798" w:val="left"/>
          <w:tab w:pos="2158" w:val="left"/>
        </w:tabs>
        <w:autoSpaceDE w:val="0"/>
        <w:widowControl/>
        <w:spacing w:line="271" w:lineRule="auto" w:before="308" w:after="0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a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holds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the Body corporate until the first Board is appointed or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2C3734"/>
          <w:sz w:val="20"/>
        </w:rPr>
        <w:t>section 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2" w:after="0"/>
        <w:ind w:left="1702" w:right="2516" w:firstLine="360"/>
        <w:jc w:val="both"/>
      </w:pPr>
      <w:r>
        <w:rPr>
          <w:rFonts w:ascii="Times" w:hAnsi="Times" w:eastAsia="Times"/>
          <w:b w:val="0"/>
          <w:i w:val="0"/>
          <w:color w:val="2C3734"/>
          <w:sz w:val="20"/>
        </w:rPr>
        <w:t>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b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C3734"/>
          <w:sz w:val="20"/>
        </w:rPr>
        <w:t>commencement of this Act.</w:t>
      </w:r>
    </w:p>
    <w:p>
      <w:pPr>
        <w:autoSpaceDN w:val="0"/>
        <w:autoSpaceDE w:val="0"/>
        <w:widowControl/>
        <w:spacing w:line="238" w:lineRule="auto" w:before="30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C3734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C3734"/>
          <w:sz w:val="20"/>
        </w:rPr>
        <w:t>a</w:t>
      </w:r>
      <w:r>
        <w:rPr>
          <w:rFonts w:ascii="Times" w:hAnsi="Times" w:eastAsia="Times"/>
          <w:b w:val="0"/>
          <w:i w:val="0"/>
          <w:color w:val="2C3734"/>
          <w:sz w:val="20"/>
        </w:rPr>
        <w:t>) Every office bearer of the Board including the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42" w:after="0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2C3734"/>
          <w:sz w:val="20"/>
        </w:rPr>
        <w:t xml:space="preserve">advisor shall be eligible for reappointment or re-election </w:t>
      </w:r>
      <w:r>
        <w:rPr>
          <w:rFonts w:ascii="Times" w:hAnsi="Times" w:eastAsia="Times"/>
          <w:b w:val="0"/>
          <w:i w:val="0"/>
          <w:color w:val="2C3734"/>
          <w:sz w:val="20"/>
        </w:rPr>
        <w:t>after lapse of the said period of three years.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resignation, incapacity or removal from office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bearer, the Board shall having regard to the rules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8" w:after="248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power—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deal with or dispose of the same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expedient with a view to promoting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raise funds and to receive grants, gifts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donations, in cash or kind with or without security: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8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2" w:after="14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subject of Finance,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grants, gifts or donations made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maintain and close 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banks;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such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Committee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officers and servants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salaries, allowances and gratuities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and effective carrying out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22"/>
        <w:ind w:left="0" w:right="4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two-thirds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rules, not inconsistent with the provision of this Act,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66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 vacation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removal from office of office bearers and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2" w:after="21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9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disqualifications to be a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8" w:after="22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its’ objects 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0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autoSpaceDE w:val="0"/>
        <w:widowControl/>
        <w:spacing w:line="257" w:lineRule="auto" w:before="278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9" w:lineRule="auto" w:before="2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autoSpaceDN w:val="0"/>
        <w:tabs>
          <w:tab w:pos="1944" w:val="left"/>
        </w:tabs>
        <w:autoSpaceDE w:val="0"/>
        <w:widowControl/>
        <w:spacing w:line="254" w:lineRule="auto" w:before="28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06"/>
        <w:ind w:left="28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7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grants for an account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 by the Board to the credit of the Corporation.</w:t>
      </w:r>
    </w:p>
    <w:p>
      <w:pPr>
        <w:autoSpaceDN w:val="0"/>
        <w:autoSpaceDE w:val="0"/>
        <w:widowControl/>
        <w:spacing w:line="238" w:lineRule="auto" w:before="2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fund all sums of money</w:t>
      </w:r>
    </w:p>
    <w:p>
      <w:pPr>
        <w:autoSpaceDN w:val="0"/>
        <w:autoSpaceDE w:val="0"/>
        <w:widowControl/>
        <w:spacing w:line="259" w:lineRule="auto" w:before="32" w:after="232"/>
        <w:ind w:left="1798" w:right="2422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 Auditor-General or by a qualified auditor appointed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Auditor-General in terms of Article 154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23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and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30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6"/>
        <w:ind w:left="19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 and possesses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Voluntary Social Services Organization (Registration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Supervision) Act, No. 31 of 1980 before the expiration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 of the year succeeding the year to which such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45" w:lineRule="auto" w:before="248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shall be attached to the report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Centre existing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Centre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6" w:after="18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to, and  subscriptions and coatributions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to the Centre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rules of the Body corporate made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7, with power to sell, mortgage, lease, exchange or otherwise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74"/>
        <w:ind w:left="283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 Shrawaka Caring Centre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51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autoSpaceDN w:val="0"/>
        <w:tabs>
          <w:tab w:pos="2038" w:val="left"/>
          <w:tab w:pos="2496" w:val="left"/>
          <w:tab w:pos="6718" w:val="left"/>
        </w:tabs>
        <w:autoSpaceDE w:val="0"/>
        <w:widowControl/>
        <w:spacing w:line="247" w:lineRule="auto" w:before="264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seal of the Body corporate shall not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whatsoever, except in the presence </w:t>
      </w:r>
      <w:r>
        <w:rPr>
          <w:rFonts w:ascii="Times" w:hAnsi="Times" w:eastAsia="Times"/>
          <w:b w:val="0"/>
          <w:i w:val="0"/>
          <w:color w:val="000000"/>
          <w:sz w:val="16"/>
        </w:rPr>
        <w:t>Corporate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of the  Board 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0" w:lineRule="auto" w:before="264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distributed among the members of the Body corporate,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shall be given or transferred to any other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Body corporate,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Buddha Shrawaka Caring Centre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8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