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4" w:lineRule="exact" w:before="114" w:after="0"/>
        <w:ind w:left="0" w:right="314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March 07, 2024</w:t>
      </w:r>
    </w:p>
    <w:p>
      <w:pPr>
        <w:autoSpaceDN w:val="0"/>
        <w:autoSpaceDE w:val="0"/>
        <w:widowControl/>
        <w:spacing w:line="334" w:lineRule="exact" w:before="242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4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07.03.2024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19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0" w:lineRule="exact" w:before="138" w:after="0"/>
        <w:ind w:left="0" w:right="278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WOMEN EMPOWERMENT</w:t>
      </w:r>
    </w:p>
    <w:p>
      <w:pPr>
        <w:autoSpaceDN w:val="0"/>
        <w:autoSpaceDE w:val="0"/>
        <w:widowControl/>
        <w:spacing w:line="332" w:lineRule="exact" w:before="100" w:after="0"/>
        <w:ind w:left="0" w:right="43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00" w:after="0"/>
        <w:ind w:left="0" w:right="41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tabs>
          <w:tab w:pos="3766" w:val="left"/>
        </w:tabs>
        <w:autoSpaceDE w:val="0"/>
        <w:widowControl/>
        <w:spacing w:line="283" w:lineRule="auto" w:before="142" w:after="0"/>
        <w:ind w:left="1438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make provisions for the Empowerment of Women; to provide for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formulation and implementation of the national policy on advancement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and Empowerment of Women; to established a National Commission on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women; to establish mechanisms for the protection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women’s rights and to prosecute against the violations of </w:t>
      </w:r>
      <w:r>
        <w:rPr>
          <w:rFonts w:ascii="Times,Bold" w:hAnsi="Times,Bold" w:eastAsia="Times,Bold"/>
          <w:b/>
          <w:i w:val="0"/>
          <w:color w:val="221F1F"/>
          <w:sz w:val="20"/>
        </w:rPr>
        <w:t>such  rights;   and  to  provide   for   matters    connected  therewith    or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incidential  thereto</w:t>
      </w:r>
    </w:p>
    <w:p>
      <w:pPr>
        <w:autoSpaceDN w:val="0"/>
        <w:autoSpaceDE w:val="0"/>
        <w:widowControl/>
        <w:spacing w:line="240" w:lineRule="exact" w:before="178" w:after="0"/>
        <w:ind w:left="1872" w:right="1872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Ordered to be published by the Minister of Women, Child Affairs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and Social Empowerment</w:t>
      </w:r>
    </w:p>
    <w:p>
      <w:pPr>
        <w:autoSpaceDN w:val="0"/>
        <w:tabs>
          <w:tab w:pos="2362" w:val="left"/>
          <w:tab w:pos="2578" w:val="left"/>
          <w:tab w:pos="5984" w:val="left"/>
        </w:tabs>
        <w:autoSpaceDE w:val="0"/>
        <w:widowControl/>
        <w:spacing w:line="257" w:lineRule="auto" w:before="130" w:after="0"/>
        <w:ind w:left="1442" w:right="1296" w:firstLine="0"/>
        <w:jc w:val="left"/>
      </w:pPr>
      <w:r>
        <w:tab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38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49/2023</w:t>
      </w:r>
    </w:p>
    <w:p>
      <w:pPr>
        <w:autoSpaceDN w:val="0"/>
        <w:autoSpaceDE w:val="0"/>
        <w:widowControl/>
        <w:spacing w:line="238" w:lineRule="auto" w:before="3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MPOWERMENT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</w:p>
    <w:p>
      <w:pPr>
        <w:autoSpaceDN w:val="0"/>
        <w:autoSpaceDE w:val="0"/>
        <w:widowControl/>
        <w:spacing w:line="288" w:lineRule="auto" w:before="108" w:after="0"/>
        <w:ind w:left="20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FORMULATION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IMPLEMENTATION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NATIONAL</w:t>
      </w:r>
      <w:r>
        <w:rPr>
          <w:rFonts w:ascii="Times" w:hAnsi="Times" w:eastAsia="Times"/>
          <w:b w:val="0"/>
          <w:i w:val="0"/>
          <w:color w:val="221F1F"/>
          <w:sz w:val="14"/>
        </w:rPr>
        <w:t>POLICY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ADVANCEMENT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MPOWERMENT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ESTABLISHED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ESTABLISH </w:t>
      </w:r>
      <w:r>
        <w:rPr>
          <w:rFonts w:ascii="Times" w:hAnsi="Times" w:eastAsia="Times"/>
          <w:b w:val="0"/>
          <w:i w:val="0"/>
          <w:color w:val="221F1F"/>
          <w:sz w:val="14"/>
        </w:rPr>
        <w:t>MECHANISMS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WOMEN</w:t>
      </w:r>
      <w:r>
        <w:rPr>
          <w:rFonts w:ascii="Times" w:hAnsi="Times" w:eastAsia="Times"/>
          <w:b w:val="0"/>
          <w:i w:val="0"/>
          <w:color w:val="221F1F"/>
          <w:sz w:val="20"/>
        </w:rPr>
        <w:t>’</w:t>
      </w:r>
      <w:r>
        <w:rPr>
          <w:rFonts w:ascii="Times" w:hAnsi="Times" w:eastAsia="Times"/>
          <w:b w:val="0"/>
          <w:i w:val="0"/>
          <w:color w:val="221F1F"/>
          <w:sz w:val="14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PROSECUTE</w:t>
      </w:r>
      <w:r>
        <w:rPr>
          <w:rFonts w:ascii="Times" w:hAnsi="Times" w:eastAsia="Times"/>
          <w:b w:val="0"/>
          <w:i w:val="0"/>
          <w:color w:val="221F1F"/>
          <w:sz w:val="14"/>
        </w:rPr>
        <w:t>AGAINST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VIOLATIONS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INCIDENTIAL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81" w:lineRule="auto" w:before="334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Universal Declaration of Human Rights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affirms the principle of non-discrimination and proclaims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all human beings are born free and equal in dignity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and entitled to all rights and freedoms without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distinction, including distinctions based on gender:</w:t>
      </w:r>
    </w:p>
    <w:p>
      <w:pPr>
        <w:autoSpaceDN w:val="0"/>
        <w:autoSpaceDE w:val="0"/>
        <w:widowControl/>
        <w:spacing w:line="278" w:lineRule="auto" w:before="33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Constitution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Republic of Sri Lanka recognizes special provisions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Law, subordinate legislation or executive action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advancement of women: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32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establishment of the National Women’s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operating at national level, will serve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mechanism for ensuring the empowerment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women:</w:t>
      </w:r>
    </w:p>
    <w:p>
      <w:pPr>
        <w:autoSpaceDN w:val="0"/>
        <w:autoSpaceDE w:val="0"/>
        <w:widowControl/>
        <w:spacing w:line="238" w:lineRule="auto" w:before="332" w:after="1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NOW THEREFORE be it enacted by the Parliament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Democratic Socialist Republic of Sri Lanka as follows: -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This Act may be cited as the Women Empowerment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     of 2024.</w:t>
      </w:r>
    </w:p>
    <w:p>
      <w:pPr>
        <w:autoSpaceDN w:val="0"/>
        <w:tabs>
          <w:tab w:pos="6718" w:val="left"/>
        </w:tabs>
        <w:autoSpaceDE w:val="0"/>
        <w:widowControl/>
        <w:spacing w:line="254" w:lineRule="auto" w:before="332" w:after="0"/>
        <w:ind w:left="2038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2.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objects of this Act shall be 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Objects of </w:t>
      </w:r>
      <w:r>
        <w:rPr>
          <w:rFonts w:ascii="Times" w:hAnsi="Times" w:eastAsia="Times"/>
          <w:b w:val="0"/>
          <w:i w:val="0"/>
          <w:color w:val="221F1F"/>
          <w:sz w:val="16"/>
        </w:rPr>
        <w:t>the Act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provisions for the advancement and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2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empowerment of women by introducing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mechanisms to secure women’s rights subject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the 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introduce mechanisms to give effect to the</w:t>
            </w:r>
          </w:p>
        </w:tc>
      </w:tr>
    </w:tbl>
    <w:p>
      <w:pPr>
        <w:autoSpaceDN w:val="0"/>
        <w:autoSpaceDE w:val="0"/>
        <w:widowControl/>
        <w:spacing w:line="262" w:lineRule="auto" w:before="16" w:after="1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 undertaken by the Government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in relation to women in terms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on the Elimination of All forms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Discrimination Against Women, and in terms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applicable laws;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formulate and implement the national policy for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advancement and empowerment of women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timely interventions at all levels across all sectors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developing a framework to facilitate and ensure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empowerment of women;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protect women from all forms of discrimination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based on gender and sexual orientation;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steps to prevent discrimination,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marginalization, sexual harassment and violence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women and to strengthen the measures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prosecution and punishment of acts or omissions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thereto;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62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for law reforms as a matter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priority, in order to provide for the prevention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against women, and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women;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the realization of, and ensure equality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justice for women and take measures to ensure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far as possible, women’s participation in all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34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measures and mechanisms connected with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62" w:lineRule="auto" w:before="496" w:after="23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of justice and the equal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 of women in decision 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structures and positions at every level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economic empowerment having special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2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regards to women with disabilities; and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94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public education programmes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all aspects of empowerment of women.</w:t>
      </w:r>
    </w:p>
    <w:p>
      <w:pPr>
        <w:autoSpaceDN w:val="0"/>
        <w:autoSpaceDE w:val="0"/>
        <w:widowControl/>
        <w:spacing w:line="238" w:lineRule="auto" w:before="294" w:after="232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STABLISHMENT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OMEN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and known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National Commission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Women (hereinafter referred to as the “Commission”).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tabs>
          <w:tab w:pos="1796" w:val="left"/>
          <w:tab w:pos="2036" w:val="left"/>
          <w:tab w:pos="6718" w:val="left"/>
        </w:tabs>
        <w:autoSpaceDE w:val="0"/>
        <w:widowControl/>
        <w:spacing w:line="269" w:lineRule="auto" w:before="6" w:after="234"/>
        <w:ind w:left="1452" w:right="144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on Women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by the name assigned to it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appoint, subject to the provisions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(2), seven members to the Commission of whom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minimum five members shall be women.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President shall obtain recommendations –</w:t>
      </w:r>
    </w:p>
    <w:p>
      <w:pPr>
        <w:autoSpaceDN w:val="0"/>
        <w:tabs>
          <w:tab w:pos="2636" w:val="left"/>
        </w:tabs>
        <w:autoSpaceDE w:val="0"/>
        <w:widowControl/>
        <w:spacing w:line="254" w:lineRule="auto" w:before="294" w:after="0"/>
        <w:ind w:left="22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from the Constitutional Council for appointing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five members of the Commission; and</w:t>
      </w:r>
    </w:p>
    <w:p>
      <w:pPr>
        <w:autoSpaceDN w:val="0"/>
        <w:tabs>
          <w:tab w:pos="2292" w:val="left"/>
          <w:tab w:pos="2636" w:val="left"/>
        </w:tabs>
        <w:autoSpaceDE w:val="0"/>
        <w:widowControl/>
        <w:spacing w:line="259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from the Women Caucus of Parliament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Speaker, for appointing two members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4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Constitutional Council and the Women Caucus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Parliament, in making their recommendations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shall have due regard to 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and shall make such recommendations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the persons having distinguished themselves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life with proven knowledge, experience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eminence in the fields of law or legislation, trade unionism,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 administration,  economic development, </w:t>
      </w:r>
      <w:r>
        <w:rPr>
          <w:rFonts w:ascii="Times" w:hAnsi="Times" w:eastAsia="Times"/>
          <w:b w:val="0"/>
          <w:i w:val="0"/>
          <w:color w:val="221F1F"/>
          <w:sz w:val="20"/>
        </w:rPr>
        <w:t>health, education, empowerment of women or have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2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committed to increase the employment potential of women.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5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Constitutional Council and the Women Caucus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Parliament shall make recommendations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within one month from the date of coming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or from the date of occurrence of a vacancy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membership of the Commission.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82" w:after="22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At least three members inclusive of the Chairperson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appointed as full time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exercise, perform and discharge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powers, duties and functions for the purpose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achieving the objects of this Act:-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</w:tbl>
    <w:p>
      <w:pPr>
        <w:autoSpaceDN w:val="0"/>
        <w:tabs>
          <w:tab w:pos="2422" w:val="left"/>
          <w:tab w:pos="6642" w:val="left"/>
        </w:tabs>
        <w:autoSpaceDE w:val="0"/>
        <w:widowControl/>
        <w:spacing w:line="264" w:lineRule="auto" w:before="4" w:after="222"/>
        <w:ind w:left="2018" w:right="144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inquire into and investigate the infringement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imminent infringement of women’s rights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complaints in terms of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 II;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intervene in any proceedings relating to the</w:t>
            </w:r>
          </w:p>
        </w:tc>
      </w:tr>
    </w:tbl>
    <w:p>
      <w:pPr>
        <w:autoSpaceDN w:val="0"/>
        <w:autoSpaceDE w:val="0"/>
        <w:widowControl/>
        <w:spacing w:line="257" w:lineRule="auto" w:before="10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infringement or imminent infringement of women’s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rights, pending before any Court,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permission of such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formulate National Policy on advancement and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empowerment of women in terms of section 6 of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8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502" w:after="24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 a framework in compliance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Policy on advancement and empowerment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women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and ensure empowerment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women (hereinafter referred to as the “framework”);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public inquiries in relation to the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infringement or imminent infringement of women’s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rights;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10" w:after="16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actions in any competent Court on its own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motion in relation to the infringement or imminent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infringement of women’s rights;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such steps as may be directed by a Superior</w:t>
            </w:r>
          </w:p>
        </w:tc>
      </w:tr>
    </w:tbl>
    <w:p>
      <w:pPr>
        <w:autoSpaceDN w:val="0"/>
        <w:autoSpaceDE w:val="0"/>
        <w:widowControl/>
        <w:spacing w:line="259" w:lineRule="auto" w:before="22" w:after="248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by any other Court in respect of any matter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relating to women’s rights referred to by that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 or call for any information or reports from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for the purpose of performing any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vested in the Commission under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any regulation made  thereunder;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71" w:lineRule="auto" w:before="30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inquire into, and investigate complaints with a view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ensuring compliance with the provisions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 relating to women’s rights and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promoting respect for and observance of women’s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rights;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liaise and interact with state institutions, bodies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in order to foster common policies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practices and to promote co-operation in relation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handling of complaints by the Commission;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1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 regional and provincial offices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take and hold any property movable or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 by virtue of any purchase, grant, gift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and to sell, mortgage, lease, grant, convey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devise, assign, exchange, dispose of any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property;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programmes to create awareness and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disseminate information regarding women’s rights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internationally accepted norms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women’s rights;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refer any women subject to discrimination for</w:t>
            </w:r>
          </w:p>
        </w:tc>
      </w:tr>
    </w:tbl>
    <w:p>
      <w:pPr>
        <w:autoSpaceDN w:val="0"/>
        <w:autoSpaceDE w:val="0"/>
        <w:widowControl/>
        <w:spacing w:line="252" w:lineRule="auto" w:before="4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mediation in accordance with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hereinafter provided, either on receiving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complaint on such discrimination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on its own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Government and the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–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measures to be taken to ensure that</w:t>
            </w:r>
          </w:p>
        </w:tc>
      </w:tr>
    </w:tbl>
    <w:p>
      <w:pPr>
        <w:autoSpaceDN w:val="0"/>
        <w:tabs>
          <w:tab w:pos="2902" w:val="left"/>
          <w:tab w:pos="3954" w:val="left"/>
          <w:tab w:pos="4454" w:val="left"/>
          <w:tab w:pos="4854" w:val="left"/>
          <w:tab w:pos="6106" w:val="left"/>
        </w:tabs>
        <w:autoSpaceDE w:val="0"/>
        <w:widowControl/>
        <w:spacing w:line="252" w:lineRule="auto" w:before="10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domestic laws and policies and administrative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internationally accepted norms and standards </w:t>
      </w:r>
      <w:r>
        <w:rPr>
          <w:rFonts w:ascii="Times" w:hAnsi="Times" w:eastAsia="Times"/>
          <w:b w:val="0"/>
          <w:i w:val="0"/>
          <w:color w:val="221F1F"/>
          <w:sz w:val="20"/>
        </w:rPr>
        <w:t>on women’s rights; and</w:t>
      </w:r>
    </w:p>
    <w:p>
      <w:pPr>
        <w:autoSpaceDN w:val="0"/>
        <w:tabs>
          <w:tab w:pos="2482" w:val="left"/>
          <w:tab w:pos="2902" w:val="left"/>
          <w:tab w:pos="2904" w:val="left"/>
        </w:tabs>
        <w:autoSpaceDE w:val="0"/>
        <w:widowControl/>
        <w:spacing w:line="252" w:lineRule="auto" w:before="26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formulation of regulations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legislation and administrative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directives and procedures required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respecting promoting, protecting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fulfilling women’s rights;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assess the impact of legislation, policies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practices on the women’s rights and to make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 to the relevant bodies in order to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co-ordination among the bodies handling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complaints of women subject to discrimination or </w:t>
      </w:r>
      <w:r>
        <w:rPr>
          <w:rFonts w:ascii="Times" w:hAnsi="Times" w:eastAsia="Times"/>
          <w:b w:val="0"/>
          <w:i w:val="0"/>
          <w:color w:val="221F1F"/>
          <w:sz w:val="20"/>
        </w:rPr>
        <w:t>violence;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96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steps to ensure equality and protection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women of different categories and status identified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regulations made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monitor and evaluate the adherence by private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and other non-state institutions to policies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practices in so far as those policies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practices relates  to women’s rights;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undertake research in furtherance of the promotion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protection of women’s rights and to promote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awareness and provide education regarding matters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relating to women’s rights;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17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grants, gifts or donations whether from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foreign sources: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6" w:right="1152" w:firstLine="4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Commission shall obtain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written approval of the Department of External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30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 in its absolute discretion, to an aggrieved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such sum of money as it may deem sufficient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meet the expenses that may have been reasonably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incurred by such person in making a complaint to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9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Commission under this Act;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17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in respect of the matters for which rules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 required to be made under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 all such other acts as may be expedient for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Formulation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accomplishment of the objects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formulate the draft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Policy on advancement and empowerment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women (hereinafter referred to as the “National Policy”)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on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shall include the procedures and mechanisms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advancement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achievement of the objects of this Act.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empowerment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 women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1" w:lineRule="auto" w:before="504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the formulation of the draft National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 in terms of subsection (1),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being satisfied with the draft National Policy submit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draft National Policy to the Cabinet of Ministers for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approval.</w:t>
      </w:r>
    </w:p>
    <w:p>
      <w:pPr>
        <w:autoSpaceDN w:val="0"/>
        <w:autoSpaceDE w:val="0"/>
        <w:widowControl/>
        <w:spacing w:line="274" w:lineRule="auto" w:before="30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Cabinet of Ministers may, review the draft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Policy forwarded to the Cabinet of Ministers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and may suggest amendments thereto prior to </w:t>
      </w:r>
      <w:r>
        <w:rPr>
          <w:rFonts w:ascii="Times" w:hAnsi="Times" w:eastAsia="Times"/>
          <w:b w:val="0"/>
          <w:i w:val="0"/>
          <w:color w:val="221F1F"/>
          <w:sz w:val="20"/>
        </w:rPr>
        <w:t>granting approval to such National Policy.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20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the approval of the National Policy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under subsection (2), the Minister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such National Policy to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shall come into operation on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publication or on such later date as may be specified therein.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1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shall within one month of the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Cabinet of Ministers, lay such National Policy before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its approval.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2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It shall be the duty of the Commission to ensure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relevant authority complies with the National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so approved.</w:t>
      </w:r>
    </w:p>
    <w:p>
      <w:pPr>
        <w:autoSpaceDN w:val="0"/>
        <w:autoSpaceDE w:val="0"/>
        <w:widowControl/>
        <w:spacing w:line="271" w:lineRule="auto" w:before="30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Parliament is not satisfied with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submitted for approval under subsection (4), it shall </w:t>
      </w:r>
      <w:r>
        <w:rPr>
          <w:rFonts w:ascii="Times" w:hAnsi="Times" w:eastAsia="Times"/>
          <w:b w:val="0"/>
          <w:i w:val="0"/>
          <w:color w:val="221F1F"/>
          <w:sz w:val="20"/>
        </w:rPr>
        <w:t>make its recommendations for amending the National Policy.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2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It shall be the duty of the Minister to cause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such recommendations to the National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resubmit the National Policy to Parliament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the approval of the Cabinet of Ministers for such </w:t>
      </w:r>
      <w:r>
        <w:rPr>
          <w:rFonts w:ascii="Times" w:hAnsi="Times" w:eastAsia="Times"/>
          <w:b w:val="0"/>
          <w:i w:val="0"/>
          <w:color w:val="221F1F"/>
          <w:sz w:val="20"/>
        </w:rPr>
        <w:t>amendments.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76" w:lineRule="auto" w:before="510" w:after="27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If Parliament disapproves the National Policy,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of such disapproval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member of the Commission, unless he vacates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earlier by death, by operation of law, resignation 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removal, shall hold office for a term of four years and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8" w:after="27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eligible for reappointment subject to a maximum period </w:t>
      </w:r>
      <w:r>
        <w:rPr>
          <w:rFonts w:ascii="Times" w:hAnsi="Times" w:eastAsia="Times"/>
          <w:b w:val="0"/>
          <w:i w:val="0"/>
          <w:color w:val="221F1F"/>
          <w:sz w:val="20"/>
        </w:rPr>
        <w:t>of any two terms of office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President shall appoint one of the women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Chairperson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to be the Chairperson of the Commission on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 of the Constitutional Council.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278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may resign from her office by letter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addressed to the President and such resignation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from the date on which it is accepted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President.</w:t>
      </w:r>
    </w:p>
    <w:p>
      <w:pPr>
        <w:autoSpaceDN w:val="0"/>
        <w:autoSpaceDE w:val="0"/>
        <w:widowControl/>
        <w:spacing w:line="276" w:lineRule="auto" w:before="33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President may for reasons assigned therefor remove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Chairperson from the office of the Chairperson subject </w:t>
      </w:r>
      <w:r>
        <w:rPr>
          <w:rFonts w:ascii="Times" w:hAnsi="Times" w:eastAsia="Times"/>
          <w:b w:val="0"/>
          <w:i w:val="0"/>
          <w:color w:val="221F1F"/>
          <w:sz w:val="20"/>
        </w:rPr>
        <w:t>to the provisions of section 9.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3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(3),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of office of the Chairperson shall be the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her membership of the Commission.</w:t>
      </w:r>
    </w:p>
    <w:p>
      <w:pPr>
        <w:autoSpaceDN w:val="0"/>
        <w:autoSpaceDE w:val="0"/>
        <w:widowControl/>
        <w:spacing w:line="276" w:lineRule="auto" w:before="33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>functions of her office due to ill health, other infirmity,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5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absence from Sri Lanka or any other cause, the President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appoint any other woman member to act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Chairperson in addition to her normal duties as a member.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2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48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continuing as a member of the Commission, if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36"/>
        <w:ind w:left="0" w:right="1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 a Member of Parliament, of any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Council or of any Local Authority;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not, or ceases to be, a citizen of Sri Lanka;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or is adjudged an insolvent by a Court of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4"/>
        <w:ind w:left="0" w:right="4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competent jurisdiction;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 unfit to continue in office by reason of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illness or other infirmity of mind or body;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or is declared to be of unsound mind by a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9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Court of competent jurisdiction;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4" w:after="1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served or is serving of a sentence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 imposed by any Court in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country; or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removed from office during a previous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term in which he was appointed as a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office of a member of the Commission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and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vacant-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the death of such member;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such member resigning from such office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4"/>
        <w:ind w:left="0" w:right="3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writing addressed to the President;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such member being removed from such office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any grounds specified in section 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508" w:after="0"/>
        <w:ind w:left="150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may, after an address to Parliament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supported by a resolution passed by a majority of the total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members of Parliament (including those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present), remove a member of the Commission from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ground of proven misbehavior or incapacity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(1):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78" w:lineRule="auto" w:before="32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no resolution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presentation of such an address shall be entertained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Speaker or placed on the Order Paper of Parliament, unless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such resolution is signed by not less than one-third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total number of members of Parliament and sets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full particulars of the alleged misbehavior or incapacity.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26" w:after="266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procedure for the presentation and passing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to Parliament for the removal of a judge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 or the Court of Appeal, shall apply in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respects to the presentation and passing of an address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the removal of a member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Chairperson of the Commission shall, if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present, preside at all meetings of the Commission.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absence of the Chairperson from any such meeting,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present shall elect one amongst themselves to </w:t>
      </w:r>
      <w:r>
        <w:rPr>
          <w:rFonts w:ascii="Times" w:hAnsi="Times" w:eastAsia="Times"/>
          <w:b w:val="0"/>
          <w:i w:val="0"/>
          <w:color w:val="221F1F"/>
          <w:sz w:val="20"/>
        </w:rPr>
        <w:t>preside at such meeting.</w:t>
      </w:r>
    </w:p>
    <w:p>
      <w:pPr>
        <w:autoSpaceDN w:val="0"/>
        <w:tabs>
          <w:tab w:pos="2038" w:val="left"/>
        </w:tabs>
        <w:autoSpaceDE w:val="0"/>
        <w:widowControl/>
        <w:spacing w:line="262" w:lineRule="auto" w:before="32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any meeting of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four members.</w:t>
      </w:r>
    </w:p>
    <w:p>
      <w:pPr>
        <w:autoSpaceDN w:val="0"/>
        <w:tabs>
          <w:tab w:pos="2038" w:val="left"/>
        </w:tabs>
        <w:autoSpaceDE w:val="0"/>
        <w:widowControl/>
        <w:spacing w:line="278" w:lineRule="auto" w:before="286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A meeting of the Commission may be held either-</w:t>
      </w:r>
    </w:p>
    <w:p>
      <w:pPr>
        <w:autoSpaceDN w:val="0"/>
        <w:tabs>
          <w:tab w:pos="2758" w:val="left"/>
        </w:tabs>
        <w:autoSpaceDE w:val="0"/>
        <w:widowControl/>
        <w:spacing w:line="266" w:lineRule="auto" w:before="326" w:after="0"/>
        <w:ind w:left="23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number of members who constitute 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being assembled at the place, date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appointed for the meeting;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</w:tr>
      <w:tr>
        <w:trPr>
          <w:trHeight w:hRule="exact" w:val="5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means of audio - visual communication by</w:t>
            </w:r>
          </w:p>
        </w:tc>
      </w:tr>
    </w:tbl>
    <w:p>
      <w:pPr>
        <w:autoSpaceDN w:val="0"/>
        <w:tabs>
          <w:tab w:pos="2662" w:val="left"/>
        </w:tabs>
        <w:autoSpaceDE w:val="0"/>
        <w:widowControl/>
        <w:spacing w:line="274" w:lineRule="auto" w:before="22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all members participating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constituting a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hear each participating member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duration of the meeting.</w:t>
      </w:r>
    </w:p>
    <w:p>
      <w:pPr>
        <w:autoSpaceDN w:val="0"/>
        <w:autoSpaceDE w:val="0"/>
        <w:widowControl/>
        <w:spacing w:line="269" w:lineRule="auto" w:before="31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may regulate the procedure in regard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meetings of the Commission and the transaction of </w:t>
      </w:r>
      <w:r>
        <w:rPr>
          <w:rFonts w:ascii="Times" w:hAnsi="Times" w:eastAsia="Times"/>
          <w:b w:val="0"/>
          <w:i w:val="0"/>
          <w:color w:val="221F1F"/>
          <w:sz w:val="20"/>
        </w:rPr>
        <w:t>business at such meetings.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18" w:after="25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All questions for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decided by the vote of the majority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present. In the case of an equality of votes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 presiding shall have a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salaries of the members of the Commission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Parliament and shall be charged on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to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 member who is directly or indirectly interested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decision that is to be taken on any matter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disclose any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disclose the nature of such interest at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6" w:lineRule="auto" w:before="24" w:after="22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Commission where such decision is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taken, and such  disclosure shall be recorded in the minutes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meetings of the Commission and such member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take part in any deliberation or decision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with regard to that matter and shall withdraw </w:t>
      </w:r>
      <w:r>
        <w:rPr>
          <w:rFonts w:ascii="Times" w:hAnsi="Times" w:eastAsia="Times"/>
          <w:b w:val="0"/>
          <w:i w:val="0"/>
          <w:color w:val="221F1F"/>
          <w:sz w:val="20"/>
        </w:rPr>
        <w:t>from such meeting while such deliberation is in progress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decision is being made.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Proceeding,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No proceeding, act or decision of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invalidated by reason only of the existence of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decision not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among its members or of any defect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invalidated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 of a member thereof.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vacancy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440"/>
        </w:trPr>
        <w:tc>
          <w:tcPr>
            <w:tcW w:type="dxa" w:w="4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seal of the Commission –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84" w:after="0"/>
        <w:ind w:left="21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shall be in the custody of the Commission;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04" w:after="0"/>
        <w:ind w:left="21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may be altered in such manner as may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Commission; and</w:t>
      </w:r>
    </w:p>
    <w:p>
      <w:pPr>
        <w:autoSpaceDN w:val="0"/>
        <w:tabs>
          <w:tab w:pos="1502" w:val="left"/>
          <w:tab w:pos="2166" w:val="left"/>
          <w:tab w:pos="2518" w:val="left"/>
        </w:tabs>
        <w:autoSpaceDE w:val="0"/>
        <w:widowControl/>
        <w:spacing w:line="276" w:lineRule="auto" w:before="28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not be affixed to any instrument or document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in the presence of one member of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the Executive Director of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in the absence of the Executive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Director, in the presence of any two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who shall sign the instrument 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in token of their presence.</w:t>
      </w:r>
    </w:p>
    <w:p>
      <w:pPr>
        <w:autoSpaceDN w:val="0"/>
        <w:autoSpaceDE w:val="0"/>
        <w:widowControl/>
        <w:spacing w:line="238" w:lineRule="auto" w:before="302" w:after="0"/>
        <w:ind w:left="0" w:right="44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306" w:after="246"/>
        <w:ind w:left="21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NQUIRY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NVESTIGATION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Supreme Court may refer any matter relating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 infringement or imminent infringement of women’s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upon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reference 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rights, arising in the course of a hearing of an application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terms of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to the Supreme Court in terms of Article 126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Article 126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Constitution, to the Commission for inquiry and report.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30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inquire into and report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 any matter referred to it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(1), within the period if any, specified in such reference.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0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in the course of an inquiry or investigation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the Commission in terms of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 question arises as to the scope or ambit of women’s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as protected by this Act, the Commission may refer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question to the Supreme Court for its determination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Commission may in addition to the matters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the Commission under section 16, inquire into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empowered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investigate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investigate an alleged infringement or imminent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infringement of women’s rights by an action or omission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infringement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on its own motion or upon application made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imminent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infringement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under section 18: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women’s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rights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88" w:after="0"/>
        <w:ind w:left="135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Commission shall not entertain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regarding the infringement or imminent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infringement of women’s rights if relief in respect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infringement has already been sought in any Court, Tribunal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Institution created or established by the Constitution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any other law for the time being in force.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cause the inquiry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referred to in subsection (1) to be conducted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Committee appointed by the Commission, within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of receiving the application or information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alleged infringement or imminent infringement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shall conduct the inquiry and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the Constitution and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Committee appointed under subsection (2)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conclusion of its investigation, submit a report thereon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Commission. The Commission shall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of such report, arrive at a final decision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there has been an infringement or imminent </w:t>
      </w:r>
      <w:r>
        <w:rPr>
          <w:rFonts w:ascii="Times" w:hAnsi="Times" w:eastAsia="Times"/>
          <w:b w:val="0"/>
          <w:i w:val="0"/>
          <w:color w:val="221F1F"/>
          <w:sz w:val="20"/>
        </w:rPr>
        <w:t>infringement of women’s rights.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a Committee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shall be paid out of the Fund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such allowance as may be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with the concurrence of the Minister  assigned </w:t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7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aggrieved person or any other person acting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behalf of the aggrieved person, may apply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investigate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infringement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as referred to in subsection (1) of section 17,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women’s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requesting the Commission to inquire into and investigate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alleged infringement or imminent infringement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women’s right.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application under subsection (1) shall be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one month of the date of, or such person becoming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aware of such alleged infringement or imminent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infringement.</w:t>
      </w:r>
    </w:p>
    <w:p>
      <w:pPr>
        <w:autoSpaceDN w:val="0"/>
        <w:autoSpaceDE w:val="0"/>
        <w:widowControl/>
        <w:spacing w:line="262" w:lineRule="auto" w:before="29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 application is made to the Commission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pursuant to subsection (1), the period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inquiry into such complaint is pending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Commission, shall not be taken into account in computing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4" w:after="1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of one month within which an application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to the Supreme Court by such person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(2) of Article 126 of the Constitution or which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for relief may be made by such person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statutory body, person, court or tribunal under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law.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Both parties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inquiry and investigation conducted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Act, the aggrieved person as well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given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opportunity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party who is alleged to have infringed the rights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heard at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aggrieved person shall be afforded an opportunity to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inquiry or</w:t>
            </w:r>
          </w:p>
        </w:tc>
      </w:tr>
      <w:tr>
        <w:trPr>
          <w:trHeight w:hRule="exact" w:val="25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heard.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</w:t>
            </w:r>
          </w:p>
        </w:tc>
      </w:tr>
      <w:tr>
        <w:trPr>
          <w:trHeight w:hRule="exact" w:val="5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 investigation conducted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Steps to be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under section 17, does not disclose that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 after</w:t>
            </w:r>
          </w:p>
        </w:tc>
      </w:tr>
      <w:tr>
        <w:trPr>
          <w:trHeight w:hRule="exact" w:val="9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conclusion of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infringement or imminent infringement of the rights of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aggrieved person had taken place, the Commission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 that fact and shall, if the investigation was commenced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upon an application made therefor, forthwith inform the </w:t>
      </w:r>
      <w:r>
        <w:rPr>
          <w:rFonts w:ascii="Times" w:hAnsi="Times" w:eastAsia="Times"/>
          <w:b w:val="0"/>
          <w:i w:val="0"/>
          <w:color w:val="221F1F"/>
          <w:sz w:val="20"/>
        </w:rPr>
        <w:t>applicant within fourteen days.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autoSpaceDE w:val="0"/>
        <w:widowControl/>
        <w:spacing w:line="257" w:lineRule="auto" w:before="492" w:after="22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investigation conducted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under section 17 discloses that an infringement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imminent infringement of the rights of the aggrieved </w:t>
      </w:r>
      <w:r>
        <w:rPr>
          <w:rFonts w:ascii="Times" w:hAnsi="Times" w:eastAsia="Times"/>
          <w:b w:val="0"/>
          <w:i w:val="0"/>
          <w:color w:val="221F1F"/>
          <w:sz w:val="20"/>
        </w:rPr>
        <w:t>person had in fact taken place, the Commission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 Commission is of the opinion, that the</w:t>
            </w:r>
          </w:p>
        </w:tc>
      </w:tr>
    </w:tbl>
    <w:p>
      <w:pPr>
        <w:autoSpaceDN w:val="0"/>
        <w:autoSpaceDE w:val="0"/>
        <w:widowControl/>
        <w:spacing w:line="257" w:lineRule="auto" w:before="4" w:after="1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grievance complained of may be effectively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resolved by mediation, refer the matter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mediation in terms of section 21 and direct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parties to appear before the mediator so appointed;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forward to the relevant 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recommendation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to the manner in which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infringement or imminent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infringement may be remedied or prevented.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82" w:after="222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inform the aggrieved person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action that has been taken by the Commission in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(2) within fourteen days of the date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the Commission refers a dispute for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Mediation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mediation under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of section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or subsection (3) of section 36, the mediator or mediators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to mediate such dispute shall –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mediate between the parties with a view to assisting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parties to amicably resolve the dispute;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the mediation process in compliance with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of procedure applicable to the conduct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mediation proceedings;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conclude the mediation process within a period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sixty days from the date on which the said mediator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30" w:after="0"/>
        <w:ind w:left="13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or mediators were appointed;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4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mediation process, abide by norms set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 in the Code of Conduct for Mediators.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2" w:after="0"/>
        <w:ind w:left="152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make rules setting out the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procedure which will apply to the conduct of mediation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proceedings.</w:t>
      </w:r>
    </w:p>
    <w:p>
      <w:pPr>
        <w:autoSpaceDN w:val="0"/>
        <w:autoSpaceDE w:val="0"/>
        <w:widowControl/>
        <w:spacing w:line="264" w:lineRule="auto" w:before="288" w:after="23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qualifications required of a mediator, preparation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panels of mediators who shall be assigned to mediate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disputes and the Code of Conduct for Mediators setting out </w:t>
      </w:r>
      <w:r>
        <w:rPr>
          <w:rFonts w:ascii="Times" w:hAnsi="Times" w:eastAsia="Times"/>
          <w:b w:val="0"/>
          <w:i w:val="0"/>
          <w:color w:val="221F1F"/>
          <w:sz w:val="20"/>
        </w:rPr>
        <w:t>the norms applicable to a mediator shall be 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settlement by mediation is reached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 the parties, the terms of the settlement agreed to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upon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conclusion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parties shall be reduced to writing, by the mediator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Mediation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mediators assigned to mediate the dispute, in the form of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6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and shall be signed by the parties who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thereafter comply with the obligations thereunder.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mediators shall forward a copy of the agreement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matter is referred for mediation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and a settlement is arrived at,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 the applicant of the same within fourteen days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thereafter make such directions including directions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to the payment of compensation as may be necessary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give effect to the terms of such settlement.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the mediation process not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successful, or where one party objects to the same,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mediator shall accordingly report the situation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the receipt of the report under subsection (3),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attempt at mediation is not successful,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may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such recommendation as it may think fit for</w:t>
            </w:r>
          </w:p>
        </w:tc>
      </w:tr>
    </w:tbl>
    <w:p>
      <w:pPr>
        <w:autoSpaceDN w:val="0"/>
        <w:autoSpaceDE w:val="0"/>
        <w:widowControl/>
        <w:spacing w:line="264" w:lineRule="auto" w:before="20" w:after="1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appropriate authority or person or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concerned, with a view to preventing or remedying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infringement or the continuation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infringement;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to the appropriate authority, that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or other proceedings be instituted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person responsible for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infringement;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such relief or make such direction as it may</w:t>
            </w:r>
          </w:p>
        </w:tc>
      </w:tr>
    </w:tbl>
    <w:p>
      <w:pPr>
        <w:autoSpaceDN w:val="0"/>
        <w:autoSpaceDE w:val="0"/>
        <w:widowControl/>
        <w:spacing w:line="238" w:lineRule="auto" w:before="4" w:after="244"/>
        <w:ind w:left="0" w:right="28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deem just and equitable in the circumstances.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consequent to the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 being forwarded to it, notify the parties to the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 parties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&amp;c,. to give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dispute and any other relevant person or government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effect to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 or institution mentioned in the recommendations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recommendations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settlement as embodied in the agreement, to take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steps as may be necessary to give effect to such decisions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recommendations.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6" w:after="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relevant person or government department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who has been directed to give effect to a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recommendation contained in an agreement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who is unable to take necessary steps to give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such decision or recommendation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>inform the Commission of its inability stating its reasons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Any person who is aggrieved by a decision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made under this Act, may appeal against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the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decision of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 to the Court of Appeal within one month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on which such decision was communicated to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7" w:lineRule="auto" w:before="490" w:after="1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Until rules are made under Article 136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 pertaining to appeals under this section,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made under that Article pertaining to an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>by way of revision to the Court of Appeal, shall apply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every appeal made under subsection (1) of this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shall, for the purposes of inquiry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investigation under this Act, have the power to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Inquiry or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procure and receive all such evidence, written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oral, and to examine all such persons as witnesses,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Commission may think it necessary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desirable to procure or examine;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the evidence, whether written or oral,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witness, to be given on oath or affirmation.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4" w:after="12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oath or affirmation shall be that which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of the witness if such witness was giving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in a Court of law, and such oath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affirmation shall be administered to every witness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giving evidence before the Commission, by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authorized on that behalf by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summon any person, to attend or participate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proceedings of the Commission to give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or produce any document or other material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possession of such person, and to examine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as a witness or require such person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produce any document or other material;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admit, notwithstanding the provisions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Ordinance, any evidence, whether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oral, which might be inadmissible in civil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proceedings, if such evidence is material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dispute in question;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admit or exclude the public from such inquiry or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9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investigation or any part thereof.</w:t>
      </w:r>
    </w:p>
    <w:p>
      <w:pPr>
        <w:autoSpaceDN w:val="0"/>
        <w:autoSpaceDE w:val="0"/>
        <w:widowControl/>
        <w:spacing w:line="250" w:lineRule="auto" w:before="278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every person summoned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to comply with such summons unless such</w:t>
      </w:r>
    </w:p>
    <w:p>
      <w:pPr>
        <w:autoSpaceDN w:val="0"/>
        <w:tabs>
          <w:tab w:pos="1702" w:val="left"/>
        </w:tabs>
        <w:autoSpaceDE w:val="0"/>
        <w:widowControl/>
        <w:spacing w:line="250" w:lineRule="auto" w:before="26" w:after="218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is prohibited from disclosing the information required </w:t>
      </w:r>
      <w:r>
        <w:rPr>
          <w:rFonts w:ascii="Times" w:hAnsi="Times" w:eastAsia="Times"/>
          <w:b w:val="0"/>
          <w:i w:val="0"/>
          <w:color w:val="221F1F"/>
          <w:sz w:val="20"/>
        </w:rPr>
        <w:t>in terms of the Right to Information Act, No. 12 of 2016.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gives evidence before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Privileges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shall, in respect of such evidence, be entitled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giving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all the privileges to which a witness giving evidence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evidence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a Court of law is entitled to, in respect of the evidence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before the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given by such person before such Court.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18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person shall, in respect of any evidence, written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oral, given by that person to, or before the Commission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any action, prosecution or other proceedings, civil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criminal in any Court.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Subject as hereinafter provided, no evidence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made or given by any person to, or before,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shall be admissible against that person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action, prosecution or other proceeding, civil or criminal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any Court:</w:t>
      </w:r>
    </w:p>
    <w:p>
      <w:pPr>
        <w:autoSpaceDN w:val="0"/>
        <w:autoSpaceDE w:val="0"/>
        <w:widowControl/>
        <w:spacing w:line="257" w:lineRule="auto" w:before="26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nothing in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 shall affect, or be deemed or construed to affect,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prosecution or penalty for any offence under Chapter XI </w:t>
      </w:r>
      <w:r>
        <w:rPr>
          <w:rFonts w:ascii="Times" w:hAnsi="Times" w:eastAsia="Times"/>
          <w:b w:val="0"/>
          <w:i w:val="0"/>
          <w:color w:val="221F1F"/>
          <w:sz w:val="20"/>
        </w:rPr>
        <w:t>of the Penal Code (Chapter 19):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2" w:lineRule="auto" w:before="26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 that, nothing in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 section shall prohibit or be deemed or construed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 the publication or disclosure of the name, or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or any part of the evidence of any witness who </w:t>
      </w:r>
      <w:r>
        <w:rPr>
          <w:rFonts w:ascii="Times" w:hAnsi="Times" w:eastAsia="Times"/>
          <w:b w:val="0"/>
          <w:i w:val="0"/>
          <w:color w:val="221F1F"/>
          <w:sz w:val="20"/>
        </w:rPr>
        <w:t>gives evidence before the Commission for the purposes of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prosecution of that witness for any offence under Chapter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XI of the Penal Code (Chapter 19).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2" w:after="0"/>
              <w:ind w:left="78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Summons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hand of the</w:t>
            </w:r>
          </w:p>
        </w:tc>
      </w:tr>
      <w:tr>
        <w:trPr>
          <w:trHeight w:hRule="exact" w:val="84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7" w:lineRule="auto" w:before="256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Every summons issued by the Commission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under the hand of the Chairperson of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6" w:val="left"/>
          <w:tab w:pos="6718" w:val="left"/>
        </w:tabs>
        <w:autoSpaceDE w:val="0"/>
        <w:widowControl/>
        <w:spacing w:line="269" w:lineRule="auto" w:before="6" w:after="0"/>
        <w:ind w:left="1520" w:right="144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Chairperson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summon may be served by delivering it to the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named therein or by leaving it at the last known place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abode of that person, or by sending it by registered post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abode of that person.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04" w:after="244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to whom a summon is served shall attend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Commission at the time and place specified therein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answer the question put to him by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produce such documents or materials as are required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 and are in his possession or power.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act done or omitted to be done in relation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Commission, whether in the presence of the Commission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shall constitute an offence of contempt against,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 disrespect of, the authority of the Commission if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 would, if done or omitted to be done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Court, have constituted an offence or contempt </w:t>
      </w:r>
      <w:r>
        <w:rPr>
          <w:rFonts w:ascii="Times" w:hAnsi="Times" w:eastAsia="Times"/>
          <w:b w:val="0"/>
          <w:i w:val="0"/>
          <w:color w:val="221F1F"/>
          <w:sz w:val="20"/>
        </w:rPr>
        <w:t>against, or in disrespect of, the authority of such Court.</w:t>
      </w:r>
    </w:p>
    <w:p>
      <w:pPr>
        <w:autoSpaceDN w:val="0"/>
        <w:autoSpaceDE w:val="0"/>
        <w:widowControl/>
        <w:spacing w:line="235" w:lineRule="auto" w:before="30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Every offence of contempt committed against, or in</w:t>
      </w:r>
    </w:p>
    <w:p>
      <w:pPr>
        <w:autoSpaceDN w:val="0"/>
        <w:tabs>
          <w:tab w:pos="1796" w:val="left"/>
        </w:tabs>
        <w:autoSpaceDE w:val="0"/>
        <w:widowControl/>
        <w:spacing w:line="269" w:lineRule="auto" w:before="4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disrespect of the authority of the Commission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punishable by the Supreme Court as though it was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contempt committed against, or in disrespect of,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of that Court, and the Supreme Court is hereby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vested with jurisdiction to try every such offence.</w:t>
      </w:r>
    </w:p>
    <w:p>
      <w:pPr>
        <w:autoSpaceDN w:val="0"/>
        <w:tabs>
          <w:tab w:pos="2036" w:val="left"/>
        </w:tabs>
        <w:autoSpaceDE w:val="0"/>
        <w:widowControl/>
        <w:spacing w:line="235" w:lineRule="auto" w:before="30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Any person who –</w:t>
      </w:r>
    </w:p>
    <w:p>
      <w:pPr>
        <w:autoSpaceDN w:val="0"/>
        <w:autoSpaceDE w:val="0"/>
        <w:widowControl/>
        <w:spacing w:line="266" w:lineRule="auto" w:before="306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without cause, which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reasonable to appear before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at the time and place mentioned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summons served under this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4" w:lineRule="auto" w:before="496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refuses to be sworn or affirmed or having been duly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sworn or affirmed refuses or fails without cause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answer any question put to him regarding matters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inquired into, or investigated by,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or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refuses or fails without cause which in the opinion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is reasonable to comply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requirements of a notice or written order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issued or made to him,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4" w:lineRule="auto" w:before="26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refuses or fails without cause, which in the opinion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is reasonable to produce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 to the Commission any document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material, which is in the possession or control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and which is in the opinion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required for ascertaining the truth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matters being inquired or investigated into; or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0"/>
        <w:ind w:left="20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comply with a recommendation or decision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Commission,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6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guilty of the offence of contempt of against, 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disrespect of the authority of the Commission.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Commission determines that a person is </w:t>
      </w:r>
      <w:r>
        <w:rPr>
          <w:rFonts w:ascii="Times" w:hAnsi="Times" w:eastAsia="Times"/>
          <w:b w:val="0"/>
          <w:i w:val="0"/>
          <w:color w:val="221F1F"/>
          <w:sz w:val="20"/>
        </w:rPr>
        <w:t>guilty of an offence of contempt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the Commission may transmit to the Supreme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a Certificate setting out such determination.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Certificate shall be signed by the Chairperson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47" w:lineRule="auto" w:before="266" w:after="0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any proceedings for the punishment of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>of contempt which the Supreme Court may think fit to take</w:t>
      </w:r>
    </w:p>
    <w:p>
      <w:pPr>
        <w:autoSpaceDN w:val="0"/>
        <w:tabs>
          <w:tab w:pos="1704" w:val="left"/>
        </w:tabs>
        <w:autoSpaceDE w:val="0"/>
        <w:widowControl/>
        <w:spacing w:line="259" w:lineRule="auto" w:before="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cognizance of, as provided in this section, any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purporting to be a Certificate signed and transmitted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Court under subsection (4) shall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6" w:after="2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received in evidence, and be deemed to be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Certificate without further proof, unless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contrary is provided;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evidence that the determination set out in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was made by the Commission and of the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facts stated in the determination.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8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any proceeding taken as provided in this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punishment of alleged offence of contempt against,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disrespect of the authority of the Commission, no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Commission shall notwithstanding anything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contrary in this Act except with his own consent,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summoned or examined as a witness.</w:t>
      </w:r>
    </w:p>
    <w:p>
      <w:pPr>
        <w:autoSpaceDN w:val="0"/>
        <w:autoSpaceDE w:val="0"/>
        <w:widowControl/>
        <w:spacing w:line="235" w:lineRule="auto" w:before="278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78" w:after="194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MBUDS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>’</w:t>
      </w:r>
      <w:r>
        <w:rPr>
          <w:rFonts w:ascii="Times" w:hAnsi="Times" w:eastAsia="Times"/>
          <w:b w:val="0"/>
          <w:i w:val="0"/>
          <w:color w:val="221F1F"/>
          <w:sz w:val="14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STAFF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to the staff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a person who shall be called and known as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Ombuds for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Ombuds for Women’s Rights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Women’s</w:t>
            </w:r>
          </w:p>
        </w:tc>
      </w:tr>
      <w:tr>
        <w:trPr>
          <w:trHeight w:hRule="exact" w:val="22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“Ombuds”) who shall be charged with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responsibility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entertaining in the first instance, any complaint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gender based violence  or to a complaint concerning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infringement or imminent infringement of women’s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rights.</w:t>
      </w:r>
    </w:p>
    <w:p>
      <w:pPr>
        <w:autoSpaceDN w:val="0"/>
        <w:autoSpaceDE w:val="0"/>
        <w:widowControl/>
        <w:spacing w:line="250" w:lineRule="auto" w:before="278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person appointed to hold the office of Ombuds in </w:t>
      </w:r>
      <w:r>
        <w:rPr>
          <w:rFonts w:ascii="Times" w:hAnsi="Times" w:eastAsia="Times"/>
          <w:b w:val="0"/>
          <w:i w:val="0"/>
          <w:color w:val="221F1F"/>
          <w:sz w:val="20"/>
        </w:rPr>
        <w:t>terms of subsection (1) shall be a person of good repute with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6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proven ability in the areas of law, human rights, mediation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dispute resolution.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78" w:after="0"/>
        <w:ind w:left="14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is subjected to, or who is aware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occurrence of, gender based violence or to the infringement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imminent infringement of women’s rights may make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complaint to the Ombuds.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autoSpaceDE w:val="0"/>
        <w:widowControl/>
        <w:spacing w:line="259" w:lineRule="auto" w:before="4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Ombuds shall maintain a record of all complaints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and shall in the order that such complaints are </w:t>
      </w:r>
      <w:r>
        <w:rPr>
          <w:rFonts w:ascii="Times" w:hAnsi="Times" w:eastAsia="Times"/>
          <w:b w:val="0"/>
          <w:i w:val="0"/>
          <w:color w:val="221F1F"/>
          <w:sz w:val="20"/>
        </w:rPr>
        <w:t>received, make inquiries into the facts of each complaint.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On the conclusion of an inquiry into a complaint,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Ombuds shall forward to the Commission a report containing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and possible avenues of relief available </w:t>
      </w:r>
      <w:r>
        <w:rPr>
          <w:rFonts w:ascii="Times" w:hAnsi="Times" w:eastAsia="Times"/>
          <w:b w:val="0"/>
          <w:i w:val="0"/>
          <w:color w:val="221F1F"/>
          <w:sz w:val="20"/>
        </w:rPr>
        <w:t>to the complainant in terms of the provisions of this Act.</w:t>
      </w:r>
    </w:p>
    <w:p>
      <w:pPr>
        <w:autoSpaceDN w:val="0"/>
        <w:autoSpaceDE w:val="0"/>
        <w:widowControl/>
        <w:spacing w:line="264" w:lineRule="auto" w:before="32" w:after="0"/>
        <w:ind w:left="135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take cognizance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made by the Ombuds in recommending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to be taken in terms of Part II of this Act. </w:t>
      </w:r>
      <w:r>
        <w:rPr>
          <w:rFonts w:ascii="Times" w:hAnsi="Times" w:eastAsia="Times"/>
          <w:b w:val="0"/>
          <w:i w:val="0"/>
          <w:color w:val="221F1F"/>
          <w:sz w:val="20"/>
        </w:rPr>
        <w:t>10</w:t>
      </w:r>
    </w:p>
    <w:p>
      <w:pPr>
        <w:autoSpaceDN w:val="0"/>
        <w:autoSpaceDE w:val="0"/>
        <w:widowControl/>
        <w:spacing w:line="262" w:lineRule="auto" w:before="2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Terms of reference applicable to the Ombuds,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payable, the term of office including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removal therefrom and the Code of Conduct to be adhered </w:t>
      </w:r>
      <w:r>
        <w:rPr>
          <w:rFonts w:ascii="Times" w:hAnsi="Times" w:eastAsia="Times"/>
          <w:b w:val="0"/>
          <w:i w:val="0"/>
          <w:color w:val="221F1F"/>
          <w:sz w:val="20"/>
        </w:rPr>
        <w:t>to by the Ombuds shall be as prescribed.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9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Commission may issue guidelines specifying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procedure for making complaints to the Ombuds.</w:t>
      </w:r>
    </w:p>
    <w:p>
      <w:pPr>
        <w:autoSpaceDN w:val="0"/>
        <w:tabs>
          <w:tab w:pos="1946" w:val="left"/>
          <w:tab w:pos="6622" w:val="left"/>
        </w:tabs>
        <w:autoSpaceDE w:val="0"/>
        <w:widowControl/>
        <w:spacing w:line="254" w:lineRule="auto" w:before="294" w:after="0"/>
        <w:ind w:left="1702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There shall be appointed by the President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 of the Minister, a person with prescribed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Director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to be the Executive Director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act on the instructions of and be subject to,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direction and control of the Commission and be </w:t>
      </w:r>
      <w:r>
        <w:rPr>
          <w:rFonts w:ascii="Times" w:hAnsi="Times" w:eastAsia="Times"/>
          <w:b w:val="0"/>
          <w:i w:val="0"/>
          <w:color w:val="221F1F"/>
          <w:sz w:val="20"/>
        </w:rPr>
        <w:t>responsible to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any written law and any guidelines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Government from time to time, the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including remuneration and scheme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recruitment of the Executive Director shall be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Executive Director may be present at meetings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and speak at such meetings but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entitled to vote any such meeting.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71" w:lineRule="auto" w:before="504" w:after="26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President may for reasons assigned,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Director appointed under subsection (1), from </w:t>
      </w:r>
      <w:r>
        <w:rPr>
          <w:rFonts w:ascii="Times" w:hAnsi="Times" w:eastAsia="Times"/>
          <w:b w:val="0"/>
          <w:i w:val="0"/>
          <w:color w:val="221F1F"/>
          <w:sz w:val="20"/>
        </w:rPr>
        <w:t>such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may appoint such number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and employees, as the Commission may deem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proper and efficient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functions.</w:t>
      </w:r>
    </w:p>
    <w:p>
      <w:pPr>
        <w:autoSpaceDN w:val="0"/>
        <w:autoSpaceDE w:val="0"/>
        <w:widowControl/>
        <w:spacing w:line="238" w:lineRule="auto" w:before="320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Commission may –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62" w:lineRule="auto" w:before="32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exercise disciplinary control over or dismiss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 or employee of the Commission;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78" w:lineRule="auto" w:before="322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relevant written law and any guidelines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Government from time to time,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stipulate the conditions of employment including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and scheme of recruitment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 and employees;</w:t>
      </w:r>
    </w:p>
    <w:p>
      <w:pPr>
        <w:autoSpaceDN w:val="0"/>
        <w:tabs>
          <w:tab w:pos="2186" w:val="left"/>
          <w:tab w:pos="2516" w:val="left"/>
        </w:tabs>
        <w:autoSpaceDE w:val="0"/>
        <w:widowControl/>
        <w:spacing w:line="278" w:lineRule="auto" w:before="3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establish and regulate a provident fund and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welfare and security schemes for the benefit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officers and employees of the Commission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any written law and make contributions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any such fund or scheme.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81" w:lineRule="auto" w:before="31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At the request of the Commission, any officer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service may, with the consent of that officer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Ministry under which that officer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 and the Secretary to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Public Administration, be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 for such period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Commission, or with like consent,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permanently appointed to such staff.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49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any officer in the public service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appointed to the staff of the Commission,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to an in relation to, such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2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 in relation to, such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8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Commission employs any person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any contract with the Government by which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agreed to serve the Government for a specified period,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period of service to the Commission by that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regarded as service to the Government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discharging his obligation under such contract.</w:t>
      </w:r>
    </w:p>
    <w:p>
      <w:pPr>
        <w:autoSpaceDN w:val="0"/>
        <w:autoSpaceDE w:val="0"/>
        <w:widowControl/>
        <w:spacing w:line="238" w:lineRule="auto" w:before="290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94" w:after="234"/>
        <w:ind w:left="0" w:right="39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for the purposes of this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 Fund to be called the “National Fund for Women”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 Fund”).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for</w:t>
            </w:r>
          </w:p>
        </w:tc>
      </w:tr>
    </w:tbl>
    <w:p>
      <w:pPr>
        <w:autoSpaceDN w:val="0"/>
        <w:tabs>
          <w:tab w:pos="1944" w:val="left"/>
          <w:tab w:pos="6622" w:val="left"/>
        </w:tabs>
        <w:autoSpaceDE w:val="0"/>
        <w:widowControl/>
        <w:spacing w:line="269" w:lineRule="auto" w:before="6" w:after="0"/>
        <w:ind w:left="1704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Women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power of administration and management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Fund shall be vested with the Commission.</w:t>
      </w:r>
    </w:p>
    <w:p>
      <w:pPr>
        <w:autoSpaceDN w:val="0"/>
        <w:autoSpaceDE w:val="0"/>
        <w:widowControl/>
        <w:spacing w:line="235" w:lineRule="auto" w:before="294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There shall be paid into the Fund –</w:t>
      </w:r>
    </w:p>
    <w:p>
      <w:pPr>
        <w:autoSpaceDN w:val="0"/>
        <w:tabs>
          <w:tab w:pos="2078" w:val="left"/>
          <w:tab w:pos="2424" w:val="left"/>
        </w:tabs>
        <w:autoSpaceDE w:val="0"/>
        <w:widowControl/>
        <w:spacing w:line="254" w:lineRule="auto" w:before="29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shall be voted form 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time by Parliament for the use of the Commission;</w:t>
      </w:r>
    </w:p>
    <w:p>
      <w:pPr>
        <w:autoSpaceDN w:val="0"/>
        <w:autoSpaceDE w:val="0"/>
        <w:widowControl/>
        <w:spacing w:line="238" w:lineRule="auto" w:before="29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all such sums of money as may be received by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62" w:lineRule="auto" w:before="496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way of aid, gift, grants, donations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bequests from any source whatsoever,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or abroad with the approval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Department of External Resources; or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64" w:lineRule="auto" w:before="29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may be received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way of proceeds from the sale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movable or immovable property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38" w:lineRule="auto" w:before="29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There shall be paid out of the Fund –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62" w:lineRule="auto" w:before="292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are required to defray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expenditure incurred by the Commission,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exercise, performance and discharge of its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this Act;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are auhtorized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make any ex-gratia payments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individual or organization in recognition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exceptional or outstanding contribution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cause of women’s rights; or</w:t>
      </w:r>
    </w:p>
    <w:p>
      <w:pPr>
        <w:autoSpaceDN w:val="0"/>
        <w:autoSpaceDE w:val="0"/>
        <w:widowControl/>
        <w:spacing w:line="238" w:lineRule="auto" w:before="294" w:after="12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all such sums of money as are required to be paid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of the Fund, by or under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 may invest the moneys of the Fund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is not immediately needed, in such manner as it may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invest its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cause proper accounts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kept of the income and expenditure, assets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all other transactions, of the Commission.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financial year of the Commission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>calendar year.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autoSpaceDE w:val="0"/>
        <w:widowControl/>
        <w:spacing w:line="250" w:lineRule="auto" w:before="48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accounts of Public Corporation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the audit of the accounts of the Commission.</w:t>
      </w:r>
    </w:p>
    <w:p>
      <w:pPr>
        <w:autoSpaceDN w:val="0"/>
        <w:autoSpaceDE w:val="0"/>
        <w:widowControl/>
        <w:spacing w:line="235" w:lineRule="auto" w:before="266" w:after="206"/>
        <w:ind w:left="0" w:right="4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ENERAL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shall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make regulations in respect of matters required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Act to be prescribed or in respect of which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>are authorized to be made.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6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by subsection (1), regulations may be made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all or any of the following: -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4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prescribing the manner in which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appoint the Committee referred to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(2) of section 17;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prescribing the eligibility required of the persons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Committee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section 17;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prescribing the procedure to be followed by 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in relation to an inquiry or investigation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being conducted in terms of section 17;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64" w:after="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the mechanisms or processes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adopted in relation to complaints and grievances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received by the Commission in terms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 women of different categories and status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prescribe measures to be adopted to ensure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equality and protection to respective category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status;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6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guidelines to the relevant authorities,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specifying the manner of adhering to the framework;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4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prescribing areas in which economic empowerment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women is required and targets to be met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framework and to ensure not less than fifty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contribution of women in the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economy;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2" w:after="23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establishing mechanisms to promote empowerment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initiatives:-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socio economic empowerment of women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special regards to women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disabilities;</w:t>
      </w:r>
    </w:p>
    <w:p>
      <w:pPr>
        <w:autoSpaceDN w:val="0"/>
        <w:tabs>
          <w:tab w:pos="2996" w:val="left"/>
        </w:tabs>
        <w:autoSpaceDE w:val="0"/>
        <w:widowControl/>
        <w:spacing w:line="254" w:lineRule="auto" w:before="292" w:after="16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protection of girls from all forms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violence, forced labour, trafficking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exploitation;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support systems for assisting women to</w:t>
            </w:r>
          </w:p>
        </w:tc>
      </w:tr>
    </w:tbl>
    <w:p>
      <w:pPr>
        <w:autoSpaceDN w:val="0"/>
        <w:autoSpaceDE w:val="0"/>
        <w:widowControl/>
        <w:spacing w:line="235" w:lineRule="auto" w:before="16" w:after="1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access judicial processes for obtaining redress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gender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based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violence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0"/>
        <w:ind w:left="0" w:right="4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discrimination;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prescribing policies and practices to be adopted by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persons and other non- state institutions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ensure women’s rights; and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carrying out or giving effect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principles and provisions of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its publication or on such later date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500" w:after="0"/>
        <w:ind w:left="143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by the Minister, shall as soon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convenient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Parliament for approval. Every regulation which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so approved shall be deemed to be rescinded as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such disapproval but without prejudice to anything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autoSpaceDE w:val="0"/>
        <w:widowControl/>
        <w:spacing w:line="264" w:lineRule="auto" w:before="306" w:after="24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notification of the date on which any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deemed to be so rescinded shall be published on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Minister shall take necessary steps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upgrading the Sri Lanka Women’s Bureau to a Government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1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6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fails to comply with any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 under section 35 shall be liable to inform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the reasons for such noncompliance.  If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satisfied with the reasons given, the Minister may extend </w:t>
      </w:r>
      <w:r>
        <w:rPr>
          <w:rFonts w:ascii="Times" w:hAnsi="Times" w:eastAsia="Times"/>
          <w:b w:val="0"/>
          <w:i w:val="0"/>
          <w:color w:val="221F1F"/>
          <w:sz w:val="20"/>
        </w:rPr>
        <w:t>the period for compliance.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0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regulations made by the Minister have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complied with within the extended period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(2), the Minister may refer the matter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to resolve by mediation.</w:t>
      </w:r>
    </w:p>
    <w:p>
      <w:pPr>
        <w:autoSpaceDN w:val="0"/>
        <w:autoSpaceDE w:val="0"/>
        <w:widowControl/>
        <w:spacing w:line="264" w:lineRule="auto" w:before="302" w:after="24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The provisions of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 section 21 shall apply to a matter referred </w:t>
      </w:r>
      <w:r>
        <w:rPr>
          <w:rFonts w:ascii="Times" w:hAnsi="Times" w:eastAsia="Times"/>
          <w:b w:val="0"/>
          <w:i w:val="0"/>
          <w:color w:val="221F1F"/>
          <w:sz w:val="20"/>
        </w:rPr>
        <w:t>to mediation under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 shall at the end of each financial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 submit to Parliament, a report containing a list of all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referred to it, the action taken in respect of them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along with the recommendations of the Commission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each matter.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Delegation of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delegate to any officer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appointed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any of its powers,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or functions in so far as is required for the efficient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functioning of the Commission and the officer or officers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 such powers are so delegated may exercise those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 subject to the direction and control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Commission. Any delegation made under this section may </w:t>
      </w:r>
      <w:r>
        <w:rPr>
          <w:rFonts w:ascii="Times" w:hAnsi="Times" w:eastAsia="Times"/>
          <w:b w:val="0"/>
          <w:i w:val="0"/>
          <w:color w:val="221F1F"/>
          <w:sz w:val="20"/>
        </w:rPr>
        <w:t>be withdrawn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Commission and the officers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employees appointed to assist the Commission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 public servants within the meaning and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Penal Code (Chapter 19) and every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inquiry of investigation conducted under this Act,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deemed to be judicial proceeding within the meaning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Code.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Part III of Chapter I under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Anti-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Heading “Offences relating to Bribery or Corruption”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Anti- Corruption Act, No. 9 of 2023, shall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No.9 of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applicable to or in relation to, the provisions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2023 to be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applied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liability, whether civil or criminal, shall not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attached to any member or officer of the Commission or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and</w:t>
            </w:r>
          </w:p>
        </w:tc>
      </w:tr>
      <w:tr>
        <w:trPr>
          <w:trHeight w:hRule="exact" w:val="1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of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officer authorised by such member or officer, for anything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in good faith is done in the exercise, performance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suit or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any power, duty or function imposed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conferred on the Commission under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4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the Commission in any suit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prosecution brought by or against the Commission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Court shall be paid out of the Fund, and any costs paid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to, or recovered by, the Commission in any such suit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prosecution shall be credited to the Fund.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86" w:after="204"/>
        <w:ind w:left="143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expense incurred by any such person in any suit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prosecution brought against him before any Court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act which is done or purported to be done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under this Act or any appropriate instrument, or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of the Commission, shall, if the Court holds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 was done in good faith, be paid out of the Fund,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expense is recovered by him in such suit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make rules in respect of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for which rules are required or authorized to be made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 Every rule made under this Act shall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autoSpaceDE w:val="0"/>
        <w:widowControl/>
        <w:spacing w:line="247" w:lineRule="auto" w:before="266" w:after="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by the Commission shall be approved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 and such rules and the notification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approval be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within a reasonable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time not exceeding three months and shall come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on the date its publication or on such later </w:t>
      </w:r>
      <w:r>
        <w:rPr>
          <w:rFonts w:ascii="Times" w:hAnsi="Times" w:eastAsia="Times"/>
          <w:b w:val="0"/>
          <w:i w:val="0"/>
          <w:color w:val="221F1F"/>
          <w:sz w:val="20"/>
        </w:rPr>
        <w:t>date as may be specified thereon.</w:t>
      </w:r>
    </w:p>
    <w:p>
      <w:pPr>
        <w:autoSpaceDN w:val="0"/>
        <w:autoSpaceDE w:val="0"/>
        <w:widowControl/>
        <w:spacing w:line="238" w:lineRule="auto" w:before="264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Any rule made by the Commission may at any time,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amended, added to, varied or rescinded in the like manner.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6" w:after="0"/>
        <w:ind w:left="2962" w:right="2516" w:hanging="5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to whom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this Act has been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Article 44 or 45 of the Constitution;</w:t>
      </w:r>
    </w:p>
    <w:p>
      <w:pPr>
        <w:autoSpaceDN w:val="0"/>
        <w:tabs>
          <w:tab w:pos="2422" w:val="left"/>
          <w:tab w:pos="296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“Code of conduct for Mediators” means the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Conduct for Mediators as prescribed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Minister under this Act;</w:t>
      </w:r>
    </w:p>
    <w:p>
      <w:pPr>
        <w:autoSpaceDN w:val="0"/>
        <w:tabs>
          <w:tab w:pos="2422" w:val="left"/>
          <w:tab w:pos="2962" w:val="left"/>
        </w:tabs>
        <w:autoSpaceDE w:val="0"/>
        <w:widowControl/>
        <w:spacing w:line="254" w:lineRule="auto" w:before="26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“person” includes any body of persons,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unincorporate and a private person but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include legislative or judicial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bodies;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3056" w:val="left"/>
        </w:tabs>
        <w:autoSpaceDE w:val="0"/>
        <w:widowControl/>
        <w:spacing w:line="254" w:lineRule="auto" w:before="49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“prescribed” means the prescribed by regulations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this Act;</w:t>
      </w:r>
    </w:p>
    <w:p>
      <w:pPr>
        <w:autoSpaceDN w:val="0"/>
        <w:tabs>
          <w:tab w:pos="2516" w:val="left"/>
          <w:tab w:pos="3056" w:val="left"/>
        </w:tabs>
        <w:autoSpaceDE w:val="0"/>
        <w:widowControl/>
        <w:spacing w:line="266" w:lineRule="auto" w:before="292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“private person” means any person who is not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 or an organ or employee of the State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includes any incorporated person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State, the Government or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corporation or local authority holds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fifty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shares of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interests in, such incorporated person; and</w:t>
      </w:r>
    </w:p>
    <w:p>
      <w:pPr>
        <w:autoSpaceDN w:val="0"/>
        <w:tabs>
          <w:tab w:pos="2516" w:val="left"/>
          <w:tab w:pos="3056" w:val="left"/>
        </w:tabs>
        <w:autoSpaceDE w:val="0"/>
        <w:widowControl/>
        <w:spacing w:line="269" w:lineRule="auto" w:before="286" w:after="1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“women’s rights” mean the rights of women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equality and non discrimination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enumerated in Article 12 of the Constitution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goals described in Convention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Elimination of All forms of Discrimination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Women including  promoting equal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opportunities for women in access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and employment and ensuring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freedom from sexual harassment and all forms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violence against women enabling them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live in dignity.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2.0" w:type="dxa"/>
      </w:tblPr>
      <w:tblGrid>
        <w:gridCol w:w="4510"/>
        <w:gridCol w:w="4510"/>
      </w:tblGrid>
      <w:tr>
        <w:trPr>
          <w:trHeight w:hRule="exact" w:val="9508"/>
        </w:trPr>
        <w:tc>
          <w:tcPr>
            <w:tcW w:type="dxa" w:w="117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50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