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396" w:after="0"/>
        <w:ind w:left="1440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5" w:lineRule="auto" w:before="230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302" w:after="0"/>
        <w:ind w:left="2016" w:right="2016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8"/>
        </w:rPr>
        <w:t xml:space="preserve">CODE OF CRIMINAL PROCEDURE </w:t>
      </w:r>
      <w:r>
        <w:rPr>
          <w:rFonts w:ascii="Times,Bold" w:hAnsi="Times,Bold" w:eastAsia="Times,Bold"/>
          <w:b/>
          <w:i w:val="0"/>
          <w:color w:val="221F1F"/>
          <w:sz w:val="28"/>
        </w:rPr>
        <w:t>(AMENDMENT)</w:t>
      </w:r>
    </w:p>
    <w:p>
      <w:pPr>
        <w:autoSpaceDN w:val="0"/>
        <w:autoSpaceDE w:val="0"/>
        <w:widowControl/>
        <w:spacing w:line="238" w:lineRule="auto" w:before="316" w:after="0"/>
        <w:ind w:left="0" w:right="447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16" w:after="0"/>
        <w:ind w:left="0" w:right="426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78" w:lineRule="exact" w:before="324" w:after="0"/>
        <w:ind w:left="1990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>to amend the Code of Criminal Procedure Act, No. 15 of 1979</w:t>
      </w:r>
    </w:p>
    <w:p>
      <w:pPr>
        <w:autoSpaceDN w:val="0"/>
        <w:autoSpaceDE w:val="0"/>
        <w:widowControl/>
        <w:spacing w:line="235" w:lineRule="auto" w:before="150" w:after="0"/>
        <w:ind w:left="0" w:right="401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</w:t>
      </w:r>
    </w:p>
    <w:p>
      <w:pPr>
        <w:autoSpaceDN w:val="0"/>
        <w:autoSpaceDE w:val="0"/>
        <w:widowControl/>
        <w:spacing w:line="245" w:lineRule="auto" w:before="210" w:after="0"/>
        <w:ind w:left="1584" w:right="144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the </w:t>
      </w:r>
      <w:r>
        <w:rPr>
          <w:rFonts w:ascii="Times,Italic" w:hAnsi="Times,Italic" w:eastAsia="Times,Italic"/>
          <w:b w:val="0"/>
          <w:i/>
          <w:color w:val="343938"/>
          <w:sz w:val="20"/>
        </w:rPr>
        <w:t>Minister of  Justice, Prison Affairs and</w:t>
      </w:r>
      <w:r>
        <w:rPr>
          <w:rFonts w:ascii="Times,Italic" w:hAnsi="Times,Italic" w:eastAsia="Times,Italic"/>
          <w:b w:val="0"/>
          <w:i/>
          <w:color w:val="343938"/>
          <w:sz w:val="20"/>
        </w:rPr>
        <w:t xml:space="preserve">Constitutional </w:t>
      </w:r>
      <w:r>
        <w:rPr>
          <w:rFonts w:ascii="Times,Italic" w:hAnsi="Times,Italic" w:eastAsia="Times,Italic"/>
          <w:b w:val="0"/>
          <w:i/>
          <w:color w:val="343938"/>
          <w:sz w:val="20"/>
        </w:rPr>
        <w:t>Reforms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05th of March, 2024</w:t>
      </w:r>
    </w:p>
    <w:p>
      <w:pPr>
        <w:autoSpaceDN w:val="0"/>
        <w:autoSpaceDE w:val="0"/>
        <w:widowControl/>
        <w:spacing w:line="235" w:lineRule="auto" w:before="248" w:after="0"/>
        <w:ind w:left="0" w:right="261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February 13, 2024)</w:t>
      </w:r>
    </w:p>
    <w:p>
      <w:pPr>
        <w:autoSpaceDN w:val="0"/>
        <w:autoSpaceDE w:val="0"/>
        <w:widowControl/>
        <w:spacing w:line="235" w:lineRule="auto" w:before="204" w:after="0"/>
        <w:ind w:left="0" w:right="307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5" w:lineRule="auto" w:before="184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92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245]</w:t>
      </w:r>
    </w:p>
    <w:p>
      <w:pPr>
        <w:autoSpaceDN w:val="0"/>
        <w:autoSpaceDE w:val="0"/>
        <w:widowControl/>
        <w:spacing w:line="245" w:lineRule="auto" w:before="126" w:after="0"/>
        <w:ind w:left="2304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04" w:val="left"/>
        </w:tabs>
        <w:autoSpaceDE w:val="0"/>
        <w:widowControl/>
        <w:spacing w:line="235" w:lineRule="auto" w:before="160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822" w:val="left"/>
        </w:tabs>
        <w:autoSpaceDE w:val="0"/>
        <w:widowControl/>
        <w:spacing w:line="240" w:lineRule="auto" w:before="188" w:after="0"/>
        <w:ind w:left="134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82"/>
        <w:ind w:left="0" w:right="0"/>
      </w:pPr>
    </w:p>
    <w:p>
      <w:pPr>
        <w:autoSpaceDN w:val="0"/>
        <w:autoSpaceDE w:val="0"/>
        <w:widowControl/>
        <w:spacing w:line="238" w:lineRule="auto" w:before="0" w:after="0"/>
        <w:ind w:left="0" w:right="336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STATEMENT OF LEGAL EFFECT</w:t>
      </w:r>
    </w:p>
    <w:p>
      <w:pPr>
        <w:autoSpaceDN w:val="0"/>
        <w:autoSpaceDE w:val="0"/>
        <w:widowControl/>
        <w:spacing w:line="247" w:lineRule="auto" w:before="214" w:after="0"/>
        <w:ind w:left="1332" w:right="1448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2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185 of the Code of Criminal Procedure Act, No.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15 of 1979 (hereinafter referred to as the “principal enactment”) and the legal effect of the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section as amended is to make provision for the Magistrate to consider, the time spent by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an accused in custody prior to the conviction of the offence he is convicted of, as part of </w:t>
      </w:r>
      <w:r>
        <w:rPr>
          <w:rFonts w:ascii="Times" w:hAnsi="Times" w:eastAsia="Times"/>
          <w:b w:val="0"/>
          <w:i w:val="0"/>
          <w:color w:val="221F1F"/>
          <w:sz w:val="16"/>
        </w:rPr>
        <w:t>his sentence at the time of passing the sentence.</w:t>
      </w:r>
    </w:p>
    <w:p>
      <w:pPr>
        <w:autoSpaceDN w:val="0"/>
        <w:autoSpaceDE w:val="0"/>
        <w:widowControl/>
        <w:spacing w:line="247" w:lineRule="auto" w:before="202" w:after="0"/>
        <w:ind w:left="1332" w:right="1448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3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203 of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effect of the section as amended is to make provision for the Judge to consider, the time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spent by an accused in custody prior to the conviction of the offence he is convicted of, as </w:t>
      </w:r>
      <w:r>
        <w:rPr>
          <w:rFonts w:ascii="Times" w:hAnsi="Times" w:eastAsia="Times"/>
          <w:b w:val="0"/>
          <w:i w:val="0"/>
          <w:color w:val="221F1F"/>
          <w:sz w:val="16"/>
        </w:rPr>
        <w:t>part of his sentence at the time of passing the sentence.</w:t>
      </w:r>
    </w:p>
    <w:p>
      <w:pPr>
        <w:autoSpaceDN w:val="0"/>
        <w:autoSpaceDE w:val="0"/>
        <w:widowControl/>
        <w:spacing w:line="247" w:lineRule="auto" w:before="202" w:after="0"/>
        <w:ind w:left="1332" w:right="1448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4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inserts new section 238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to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effect of the section is to make provision for the Judge to consider, the time spent by an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accused in custody prior to the conviction of the offence he is convicted of, as part of his </w:t>
      </w:r>
      <w:r>
        <w:rPr>
          <w:rFonts w:ascii="Times" w:hAnsi="Times" w:eastAsia="Times"/>
          <w:b w:val="0"/>
          <w:i w:val="0"/>
          <w:color w:val="221F1F"/>
          <w:sz w:val="16"/>
        </w:rPr>
        <w:t>sentence at the time of passing the sentence after trial by jury.</w:t>
      </w:r>
    </w:p>
    <w:p>
      <w:pPr>
        <w:autoSpaceDN w:val="0"/>
        <w:autoSpaceDE w:val="0"/>
        <w:widowControl/>
        <w:spacing w:line="247" w:lineRule="auto" w:before="202" w:after="0"/>
        <w:ind w:left="1332" w:right="1448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5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323 of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effect of the section as amended is to make provision to consider in an appeal preferred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from Magistrates’ Court to the Court of Appeal, the time spent by an appellant in custody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pending the determination of his appeal as part of his sentence ordered at the conclusion </w:t>
      </w:r>
      <w:r>
        <w:rPr>
          <w:rFonts w:ascii="Times" w:hAnsi="Times" w:eastAsia="Times"/>
          <w:b w:val="0"/>
          <w:i w:val="0"/>
          <w:color w:val="221F1F"/>
          <w:sz w:val="16"/>
        </w:rPr>
        <w:t>of his appeal.</w:t>
      </w:r>
    </w:p>
    <w:p>
      <w:pPr>
        <w:autoSpaceDN w:val="0"/>
        <w:autoSpaceDE w:val="0"/>
        <w:widowControl/>
        <w:spacing w:line="247" w:lineRule="auto" w:before="202" w:after="0"/>
        <w:ind w:left="1332" w:right="1448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6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333 of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effect of the section as amended is to make provision to consider in appropriate cases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where an appeal is made from the High Court to the Court of Appeal, the time spent by an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appellant in custody pending the determination of his appeal as part of his sentence </w:t>
      </w:r>
      <w:r>
        <w:rPr>
          <w:rFonts w:ascii="Times" w:hAnsi="Times" w:eastAsia="Times"/>
          <w:b w:val="0"/>
          <w:i w:val="0"/>
          <w:color w:val="221F1F"/>
          <w:sz w:val="16"/>
        </w:rPr>
        <w:t>ordered at the conclusion of his appeal.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40.0" w:type="dxa"/>
      </w:tblPr>
      <w:tblGrid>
        <w:gridCol w:w="4510"/>
        <w:gridCol w:w="4510"/>
      </w:tblGrid>
      <w:tr>
        <w:trPr>
          <w:trHeight w:hRule="exact" w:val="342"/>
        </w:trPr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28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Code of Criminal Procedure (Amendment)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31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43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 D.- O. 29/2022</w:t>
      </w:r>
    </w:p>
    <w:p>
      <w:pPr>
        <w:autoSpaceDN w:val="0"/>
        <w:autoSpaceDE w:val="0"/>
        <w:widowControl/>
        <w:spacing w:line="257" w:lineRule="auto" w:before="296" w:after="0"/>
        <w:ind w:left="2160" w:right="288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ODE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RIMINAL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ROCEDURE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15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1979</w:t>
      </w:r>
    </w:p>
    <w:p>
      <w:pPr>
        <w:autoSpaceDN w:val="0"/>
        <w:autoSpaceDE w:val="0"/>
        <w:widowControl/>
        <w:spacing w:line="254" w:lineRule="auto" w:before="292" w:after="0"/>
        <w:ind w:left="1796" w:right="2304" w:firstLine="2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 -</w:t>
      </w:r>
    </w:p>
    <w:p>
      <w:pPr>
        <w:autoSpaceDN w:val="0"/>
        <w:tabs>
          <w:tab w:pos="2036" w:val="left"/>
          <w:tab w:pos="6718" w:val="left"/>
        </w:tabs>
        <w:autoSpaceDE w:val="0"/>
        <w:widowControl/>
        <w:spacing w:line="254" w:lineRule="auto" w:before="292" w:after="232"/>
        <w:ind w:left="1796" w:right="1584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>1.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This Act may be cited as the Code of Criminal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Short title </w:t>
      </w:r>
      <w:r>
        <w:rPr>
          <w:rFonts w:ascii="Times" w:hAnsi="Times" w:eastAsia="Times"/>
          <w:b w:val="0"/>
          <w:i w:val="0"/>
          <w:color w:val="000000"/>
          <w:sz w:val="20"/>
        </w:rPr>
        <w:t>Procedure (Amendment) Act, No.      of 2024.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 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Section 185 of the Code of Criminal Procedure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Act, No. 15 of 1979 (hereinafter referred to as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185 of Act,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“principal enactment”) is hereby amended as follows: 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No. 15 of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19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1979</w:t>
      </w:r>
    </w:p>
    <w:p>
      <w:pPr>
        <w:autoSpaceDN w:val="0"/>
        <w:tabs>
          <w:tab w:pos="2516" w:val="left"/>
          <w:tab w:pos="2536" w:val="left"/>
        </w:tabs>
        <w:autoSpaceDE w:val="0"/>
        <w:widowControl/>
        <w:spacing w:line="254" w:lineRule="auto" w:before="58" w:after="23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(1)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renumbering of that section 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subsection (1) of that section;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addition immediately after the renumbered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subsection (1), of the following new subsections: -</w:t>
      </w:r>
    </w:p>
    <w:p>
      <w:pPr>
        <w:autoSpaceDN w:val="0"/>
        <w:tabs>
          <w:tab w:pos="2678" w:val="left"/>
          <w:tab w:pos="2918" w:val="left"/>
        </w:tabs>
        <w:autoSpaceDE w:val="0"/>
        <w:widowControl/>
        <w:spacing w:line="266" w:lineRule="auto" w:before="290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“(2) At the time of passing the sentence,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Magistrate may, after considering all relevant facts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take into cognizance the time spent by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accused in custody prior to the conviction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offence he is convicted of, and in such cases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time so spent in custody shall be considered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 part of his sentence:</w:t>
      </w:r>
    </w:p>
    <w:p>
      <w:pPr>
        <w:autoSpaceDN w:val="0"/>
        <w:tabs>
          <w:tab w:pos="2678" w:val="left"/>
          <w:tab w:pos="3116" w:val="left"/>
        </w:tabs>
        <w:autoSpaceDE w:val="0"/>
        <w:widowControl/>
        <w:spacing w:line="262" w:lineRule="auto" w:before="294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that, where the time spent by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accused in custody is not considered to be part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his sentence, the Magistrate shall record reasons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therefor:</w:t>
      </w:r>
    </w:p>
    <w:p>
      <w:pPr>
        <w:autoSpaceDN w:val="0"/>
        <w:autoSpaceDE w:val="0"/>
        <w:widowControl/>
        <w:spacing w:line="257" w:lineRule="auto" w:before="294" w:after="0"/>
        <w:ind w:left="2678" w:right="2304" w:firstLine="438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further, the time so spent in custody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by the accused prior to the conviction shall not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388" w:val="left"/>
        </w:tabs>
        <w:autoSpaceDE w:val="0"/>
        <w:widowControl/>
        <w:spacing w:line="266" w:lineRule="exact" w:before="0" w:after="0"/>
        <w:ind w:left="170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Code of Criminal Procedure (Amendment)</w:t>
      </w:r>
    </w:p>
    <w:p>
      <w:pPr>
        <w:autoSpaceDN w:val="0"/>
        <w:autoSpaceDE w:val="0"/>
        <w:widowControl/>
        <w:spacing w:line="271" w:lineRule="auto" w:before="502" w:after="0"/>
        <w:ind w:left="258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taken into consideration where a mandatory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minimum sentence is stipulated by law in respect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offence the accused is charged with.”.</w:t>
      </w:r>
    </w:p>
    <w:p>
      <w:pPr>
        <w:autoSpaceDN w:val="0"/>
        <w:autoSpaceDE w:val="0"/>
        <w:widowControl/>
        <w:spacing w:line="235" w:lineRule="auto" w:before="320" w:after="6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(3) For the purpose of this section, “custody”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10"/>
        </w:trPr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9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means the time spent in remand custody.”.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3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203 of the principal enactment is hereby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 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203 of the</w:t>
            </w:r>
          </w:p>
        </w:tc>
      </w:tr>
    </w:tbl>
    <w:p>
      <w:pPr>
        <w:autoSpaceDN w:val="0"/>
        <w:autoSpaceDE w:val="0"/>
        <w:widowControl/>
        <w:spacing w:line="238" w:lineRule="auto" w:before="6" w:after="4"/>
        <w:ind w:left="0" w:right="17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principal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renumbering of that section as subsection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35" w:lineRule="auto" w:before="24" w:after="262"/>
        <w:ind w:left="0" w:right="47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(1) of that section;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24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addition immediately after the renumbered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25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subsection (1), of the following new subsections:-</w:t>
      </w:r>
    </w:p>
    <w:p>
      <w:pPr>
        <w:autoSpaceDN w:val="0"/>
        <w:tabs>
          <w:tab w:pos="2584" w:val="left"/>
          <w:tab w:pos="2824" w:val="left"/>
        </w:tabs>
        <w:autoSpaceDE w:val="0"/>
        <w:widowControl/>
        <w:spacing w:line="278" w:lineRule="auto" w:before="32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“(2) At the time of passing the sentence,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Judge may, after considering all relevant facts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take into cognizance the time spent by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accused in custody prior to the conviction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offence he is convicted of, and in such cases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time so spent in custody, shall be considered to </w:t>
      </w:r>
      <w:r>
        <w:rPr>
          <w:rFonts w:ascii="Times" w:hAnsi="Times" w:eastAsia="Times"/>
          <w:b w:val="0"/>
          <w:i w:val="0"/>
          <w:color w:val="000000"/>
          <w:sz w:val="20"/>
        </w:rPr>
        <w:t>be part of his sentence:</w:t>
      </w:r>
    </w:p>
    <w:p>
      <w:pPr>
        <w:autoSpaceDN w:val="0"/>
        <w:tabs>
          <w:tab w:pos="2584" w:val="left"/>
          <w:tab w:pos="2922" w:val="left"/>
        </w:tabs>
        <w:autoSpaceDE w:val="0"/>
        <w:widowControl/>
        <w:spacing w:line="274" w:lineRule="auto" w:before="320" w:after="0"/>
        <w:ind w:left="13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that, where the time spent by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accused in custody is not considered to be part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his sentence, the Judge shall record reasons </w:t>
      </w:r>
      <w:r>
        <w:rPr>
          <w:rFonts w:ascii="Times" w:hAnsi="Times" w:eastAsia="Times"/>
          <w:b w:val="0"/>
          <w:i w:val="0"/>
          <w:color w:val="000000"/>
          <w:sz w:val="20"/>
        </w:rPr>
        <w:t>therefor:</w:t>
      </w:r>
    </w:p>
    <w:p>
      <w:pPr>
        <w:autoSpaceDN w:val="0"/>
        <w:tabs>
          <w:tab w:pos="2584" w:val="left"/>
          <w:tab w:pos="2922" w:val="left"/>
        </w:tabs>
        <w:autoSpaceDE w:val="0"/>
        <w:widowControl/>
        <w:spacing w:line="276" w:lineRule="auto" w:before="32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further, the time so spent in custody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accused prior to the conviction shall not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taken into consideration where a mandatory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minimum sentence is stipulated by law in respect </w:t>
      </w:r>
      <w:r>
        <w:rPr>
          <w:rFonts w:ascii="Times" w:hAnsi="Times" w:eastAsia="Times"/>
          <w:b w:val="0"/>
          <w:i w:val="0"/>
          <w:color w:val="000000"/>
          <w:sz w:val="20"/>
        </w:rPr>
        <w:t>of the offence the accused is charged with.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26" w:lineRule="exact" w:before="0" w:after="0"/>
        <w:ind w:left="248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Code of Criminal Procedure (Amendment)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3</w:t>
      </w:r>
    </w:p>
    <w:p>
      <w:pPr>
        <w:autoSpaceDN w:val="0"/>
        <w:tabs>
          <w:tab w:pos="2918" w:val="left"/>
        </w:tabs>
        <w:autoSpaceDE w:val="0"/>
        <w:widowControl/>
        <w:spacing w:line="254" w:lineRule="auto" w:before="496" w:after="238"/>
        <w:ind w:left="267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(3) For the purpose of this section, “custody”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means the time spent in remand custody.”.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3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The following new section is hereby inserted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Insertion of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immediately after section 238  of the  principal enactment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new section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238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in the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shall have effect as section 238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that enactment: 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</w:tbl>
    <w:p>
      <w:pPr>
        <w:autoSpaceDN w:val="0"/>
        <w:autoSpaceDE w:val="0"/>
        <w:widowControl/>
        <w:spacing w:line="238" w:lineRule="auto" w:before="6" w:after="28"/>
        <w:ind w:left="0" w:right="15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enactment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2" w:after="0"/>
              <w:ind w:left="9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“Passing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sentence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8" w:after="0"/>
              <w:ind w:left="116" w:right="1152" w:firstLine="242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238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. (1) At the time of passing the sentence,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Judge may, after considering all relevant</w:t>
            </w:r>
          </w:p>
        </w:tc>
      </w:tr>
    </w:tbl>
    <w:p>
      <w:pPr>
        <w:autoSpaceDN w:val="0"/>
        <w:tabs>
          <w:tab w:pos="2876" w:val="left"/>
        </w:tabs>
        <w:autoSpaceDE w:val="0"/>
        <w:widowControl/>
        <w:spacing w:line="266" w:lineRule="auto" w:before="1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facts take into cognizance the time spent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accused in custody prior to the conviction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offence he is convicted of, and in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cases the time so spent in custody, shall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considered to be part of his sentence:</w:t>
      </w:r>
    </w:p>
    <w:p>
      <w:pPr>
        <w:autoSpaceDN w:val="0"/>
        <w:tabs>
          <w:tab w:pos="2876" w:val="left"/>
          <w:tab w:pos="3218" w:val="left"/>
        </w:tabs>
        <w:autoSpaceDE w:val="0"/>
        <w:widowControl/>
        <w:spacing w:line="264" w:lineRule="auto" w:before="298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that, where the time spent by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accused in custody is not considered to be part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his sentence, the Judge shall record reasons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therefor:</w:t>
      </w:r>
    </w:p>
    <w:p>
      <w:pPr>
        <w:autoSpaceDN w:val="0"/>
        <w:tabs>
          <w:tab w:pos="2876" w:val="left"/>
          <w:tab w:pos="3218" w:val="left"/>
        </w:tabs>
        <w:autoSpaceDE w:val="0"/>
        <w:widowControl/>
        <w:spacing w:line="266" w:lineRule="auto" w:before="296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further, the time so spent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custody by the accused prior to the conviction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not be taken into consideration where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mandatory minimum sentence is stipulated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law in respect of the offence the accused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charged with.</w:t>
      </w:r>
    </w:p>
    <w:p>
      <w:pPr>
        <w:autoSpaceDN w:val="0"/>
        <w:autoSpaceDE w:val="0"/>
        <w:widowControl/>
        <w:spacing w:line="257" w:lineRule="auto" w:before="296" w:after="18"/>
        <w:ind w:left="2876" w:right="2304" w:firstLine="342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For the purpose of this section,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“custody” means the time spent in remand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8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custody.”.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Section 323 of the principal enactment is hereby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subsection (5) thereof, by the substitution for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323 of the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words “the time so spent”, of the words “the time spent”.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15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enactment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50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50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30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Code of Criminal Procedure (Amendment)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4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34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Section 333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subsection (5) thereof, by the substitution for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333 of the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words “received into prison under the sentence.”,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following:-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4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5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“received into prison under the sentence: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122" w:val="left"/>
          <w:tab w:pos="2322" w:val="left"/>
        </w:tabs>
        <w:autoSpaceDE w:val="0"/>
        <w:widowControl/>
        <w:spacing w:line="266" w:lineRule="auto" w:before="232" w:after="232"/>
        <w:ind w:left="1352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that, the Court of Appeal may,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appropriate cases, order that the time spent by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appellant in custody pending the determination of 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appeal and any time spent in custody prior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conviction, such time not having been considered 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 of his sentence passed at the time of his conviction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court of first instance, be considered as part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his sentence ordered at the conclusion of his appeal.”.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In the event of any inconsistency between the Sinhala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the Tamil texts of this Act, the Sinhala text shall prevail.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20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14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92"/>
        <w:ind w:left="0" w:right="0"/>
      </w:pPr>
    </w:p>
    <w:p>
      <w:pPr>
        <w:autoSpaceDN w:val="0"/>
        <w:autoSpaceDE w:val="0"/>
        <w:widowControl/>
        <w:spacing w:line="1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26.0000000000002" w:type="dxa"/>
      </w:tblPr>
      <w:tblGrid>
        <w:gridCol w:w="4510"/>
        <w:gridCol w:w="4510"/>
      </w:tblGrid>
      <w:tr>
        <w:trPr>
          <w:trHeight w:hRule="exact" w:val="9484"/>
        </w:trPr>
        <w:tc>
          <w:tcPr>
            <w:tcW w:type="dxa" w:w="4774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105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Code of Criminal Procedure (Amendment)</w:t>
            </w:r>
          </w:p>
        </w:tc>
        <w:tc>
          <w:tcPr>
            <w:tcW w:type="dxa" w:w="1474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31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5</w:t>
            </w:r>
          </w:p>
        </w:tc>
      </w:tr>
    </w:tbl>
    <w:p>
      <w:pPr>
        <w:autoSpaceDN w:val="0"/>
        <w:autoSpaceDE w:val="0"/>
        <w:widowControl/>
        <w:spacing w:line="235" w:lineRule="auto" w:before="22" w:after="0"/>
        <w:ind w:left="0" w:right="321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